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B77" w:rsidRPr="00D47B4F" w:rsidRDefault="000B1B77" w:rsidP="000B1B77">
      <w:pPr>
        <w:jc w:val="center"/>
        <w:rPr>
          <w:rFonts w:cs="Arial"/>
          <w:b/>
          <w:bCs/>
          <w:sz w:val="22"/>
          <w:szCs w:val="22"/>
        </w:rPr>
      </w:pPr>
      <w:r w:rsidRPr="00D47B4F">
        <w:rPr>
          <w:rFonts w:cs="Arial"/>
          <w:b/>
          <w:bCs/>
          <w:sz w:val="22"/>
          <w:szCs w:val="22"/>
        </w:rPr>
        <w:t>RESOLUCIÓN NÚMERO ___________ de Fecha ____________</w:t>
      </w:r>
    </w:p>
    <w:p w:rsidR="000B1B77" w:rsidRPr="00D47B4F" w:rsidRDefault="000B1B77" w:rsidP="000B1B77">
      <w:pPr>
        <w:jc w:val="center"/>
        <w:rPr>
          <w:rFonts w:cs="Arial"/>
          <w:sz w:val="22"/>
          <w:szCs w:val="22"/>
        </w:rPr>
      </w:pPr>
    </w:p>
    <w:p w:rsidR="000B1B77" w:rsidRPr="009F2CB5" w:rsidRDefault="000B1B77" w:rsidP="000B1B77">
      <w:pPr>
        <w:jc w:val="center"/>
        <w:rPr>
          <w:rFonts w:cs="Arial"/>
          <w:color w:val="FF0000"/>
          <w:sz w:val="22"/>
          <w:szCs w:val="22"/>
        </w:rPr>
      </w:pPr>
      <w:bookmarkStart w:id="0" w:name="_Hlk189738040"/>
    </w:p>
    <w:bookmarkEnd w:id="0"/>
    <w:p w:rsidR="000B1B77" w:rsidRPr="005D1CAB" w:rsidRDefault="000B1B77" w:rsidP="000B1B77">
      <w:pPr>
        <w:jc w:val="center"/>
        <w:rPr>
          <w:rFonts w:cs="Arial"/>
          <w:sz w:val="22"/>
          <w:szCs w:val="22"/>
        </w:rPr>
      </w:pPr>
      <w:r w:rsidRPr="005D1CAB">
        <w:rPr>
          <w:rFonts w:cs="Arial"/>
          <w:sz w:val="22"/>
          <w:szCs w:val="22"/>
        </w:rPr>
        <w:t xml:space="preserve">Por la cual se Revoca la Resolución No. </w:t>
      </w:r>
      <w:r>
        <w:rPr>
          <w:rFonts w:cs="Arial"/>
          <w:sz w:val="22"/>
          <w:szCs w:val="22"/>
        </w:rPr>
        <w:t>10709 del 22 de agosto de 2022</w:t>
      </w:r>
      <w:r w:rsidRPr="005D1CAB">
        <w:rPr>
          <w:rFonts w:cs="Arial"/>
          <w:sz w:val="22"/>
          <w:szCs w:val="22"/>
        </w:rPr>
        <w:t xml:space="preserve"> proferida por la Subdirección de Vigilancia en Salud Pública, dentro de la Investigación Administrativa No. </w:t>
      </w:r>
      <w:r>
        <w:rPr>
          <w:rFonts w:cs="Arial"/>
          <w:sz w:val="22"/>
          <w:szCs w:val="22"/>
        </w:rPr>
        <w:t>2489-2019</w:t>
      </w:r>
      <w:r w:rsidRPr="005D1CAB">
        <w:rPr>
          <w:rFonts w:cs="Arial"/>
          <w:sz w:val="22"/>
          <w:szCs w:val="22"/>
        </w:rPr>
        <w:t>.</w:t>
      </w:r>
    </w:p>
    <w:p w:rsidR="000B1B77" w:rsidRPr="005D1CAB" w:rsidRDefault="000B1B77" w:rsidP="000B1B77">
      <w:pPr>
        <w:jc w:val="center"/>
        <w:rPr>
          <w:rFonts w:cs="Arial"/>
          <w:sz w:val="22"/>
          <w:szCs w:val="22"/>
        </w:rPr>
      </w:pPr>
    </w:p>
    <w:p w:rsidR="000B1B77" w:rsidRPr="005D1CAB" w:rsidRDefault="000B1B77" w:rsidP="000B1B77">
      <w:pPr>
        <w:jc w:val="center"/>
        <w:rPr>
          <w:rFonts w:cs="Arial"/>
          <w:b/>
          <w:bCs/>
          <w:sz w:val="22"/>
          <w:szCs w:val="22"/>
        </w:rPr>
      </w:pPr>
      <w:r w:rsidRPr="005D1CAB">
        <w:rPr>
          <w:rFonts w:cs="Arial"/>
          <w:b/>
          <w:bCs/>
          <w:sz w:val="22"/>
          <w:szCs w:val="22"/>
        </w:rPr>
        <w:t>EL SECRETARIO DISTRITAL DE SALUD</w:t>
      </w:r>
    </w:p>
    <w:p w:rsidR="000B1B77" w:rsidRPr="005D1CAB" w:rsidRDefault="000B1B77" w:rsidP="000B1B77">
      <w:pPr>
        <w:jc w:val="center"/>
        <w:rPr>
          <w:rFonts w:cs="Arial"/>
          <w:b/>
          <w:sz w:val="22"/>
          <w:szCs w:val="22"/>
        </w:rPr>
      </w:pPr>
    </w:p>
    <w:p w:rsidR="000B1B77" w:rsidRPr="005D1CAB" w:rsidRDefault="000B1B77" w:rsidP="000B1B77">
      <w:pPr>
        <w:jc w:val="both"/>
        <w:rPr>
          <w:rFonts w:cs="Arial"/>
          <w:b/>
          <w:sz w:val="16"/>
          <w:szCs w:val="28"/>
        </w:rPr>
      </w:pPr>
    </w:p>
    <w:p w:rsidR="000B1B77" w:rsidRPr="005D1CAB" w:rsidRDefault="000B1B77" w:rsidP="000B1B77">
      <w:pPr>
        <w:jc w:val="both"/>
        <w:rPr>
          <w:rFonts w:cs="Arial"/>
          <w:sz w:val="22"/>
          <w:szCs w:val="22"/>
        </w:rPr>
      </w:pPr>
      <w:r w:rsidRPr="005D1CAB">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r w:rsidR="006D415B">
        <w:rPr>
          <w:rFonts w:cs="Arial"/>
          <w:sz w:val="22"/>
          <w:szCs w:val="22"/>
        </w:rPr>
        <w:t xml:space="preserve"> </w:t>
      </w:r>
      <w:bookmarkStart w:id="1" w:name="_GoBack"/>
      <w:bookmarkEnd w:id="1"/>
    </w:p>
    <w:p w:rsidR="000B1B77" w:rsidRPr="005D1CAB" w:rsidRDefault="000B1B77" w:rsidP="000B1B77">
      <w:pPr>
        <w:widowControl w:val="0"/>
        <w:rPr>
          <w:rFonts w:cs="Arial"/>
          <w:sz w:val="22"/>
          <w:szCs w:val="22"/>
        </w:rPr>
      </w:pPr>
    </w:p>
    <w:p w:rsidR="000B1B77" w:rsidRPr="005D1CAB" w:rsidRDefault="000B1B77" w:rsidP="000B1B77">
      <w:pPr>
        <w:widowControl w:val="0"/>
        <w:jc w:val="center"/>
        <w:rPr>
          <w:rFonts w:cs="Arial"/>
          <w:b/>
          <w:bCs/>
          <w:sz w:val="22"/>
          <w:szCs w:val="22"/>
        </w:rPr>
      </w:pPr>
      <w:r w:rsidRPr="005D1CAB">
        <w:rPr>
          <w:rFonts w:cs="Arial"/>
          <w:b/>
          <w:bCs/>
          <w:sz w:val="22"/>
          <w:szCs w:val="22"/>
        </w:rPr>
        <w:t xml:space="preserve">CONSIDERANDO:  </w:t>
      </w:r>
      <w:r w:rsidR="00AB5467">
        <w:rPr>
          <w:rFonts w:cs="Arial"/>
          <w:b/>
          <w:bCs/>
          <w:sz w:val="22"/>
          <w:szCs w:val="22"/>
        </w:rPr>
        <w:t xml:space="preserve"> </w:t>
      </w:r>
    </w:p>
    <w:p w:rsidR="000B1B77" w:rsidRPr="005D1CAB" w:rsidRDefault="000B1B77" w:rsidP="000B1B77">
      <w:pPr>
        <w:widowControl w:val="0"/>
        <w:tabs>
          <w:tab w:val="left" w:pos="6523"/>
        </w:tabs>
        <w:rPr>
          <w:rFonts w:cs="Arial"/>
          <w:sz w:val="22"/>
          <w:szCs w:val="22"/>
        </w:rPr>
      </w:pPr>
    </w:p>
    <w:p w:rsidR="000B1B77" w:rsidRPr="005D1CAB" w:rsidRDefault="000B1B77" w:rsidP="000B1B77">
      <w:pPr>
        <w:widowControl w:val="0"/>
        <w:jc w:val="both"/>
        <w:rPr>
          <w:rFonts w:cs="Arial"/>
          <w:sz w:val="22"/>
          <w:szCs w:val="22"/>
        </w:rPr>
      </w:pPr>
      <w:r w:rsidRPr="005D1CAB">
        <w:rPr>
          <w:rFonts w:cs="Arial"/>
          <w:sz w:val="22"/>
          <w:szCs w:val="22"/>
        </w:rPr>
        <w:t xml:space="preserve">Que, la Subdirección de Vigilancia en Salud Pública de la Secretaría Distrital de Salud – SDS, mediante Auto del </w:t>
      </w:r>
      <w:r>
        <w:rPr>
          <w:rFonts w:cs="Arial"/>
          <w:sz w:val="22"/>
          <w:szCs w:val="22"/>
        </w:rPr>
        <w:t>10 de marzo de 2022</w:t>
      </w:r>
      <w:r w:rsidRPr="005D1CAB">
        <w:rPr>
          <w:rFonts w:cs="Arial"/>
          <w:sz w:val="22"/>
          <w:szCs w:val="22"/>
        </w:rPr>
        <w:t>, formuló pliego de cargos en contra de</w:t>
      </w:r>
      <w:r>
        <w:rPr>
          <w:rFonts w:cs="Arial"/>
          <w:sz w:val="22"/>
          <w:szCs w:val="22"/>
        </w:rPr>
        <w:t xml:space="preserve"> la señora LEYDI ROJAS ZAPATA</w:t>
      </w:r>
      <w:r w:rsidRPr="005D1CAB">
        <w:rPr>
          <w:rFonts w:cs="Arial"/>
          <w:sz w:val="22"/>
          <w:szCs w:val="22"/>
        </w:rPr>
        <w:t xml:space="preserve">, identificada con cedula de ciudadanía No. </w:t>
      </w:r>
      <w:r>
        <w:rPr>
          <w:rFonts w:cs="Arial"/>
          <w:sz w:val="22"/>
          <w:szCs w:val="22"/>
        </w:rPr>
        <w:t>36.088.991</w:t>
      </w:r>
      <w:r w:rsidRPr="005D1CAB">
        <w:rPr>
          <w:rFonts w:cs="Arial"/>
          <w:sz w:val="22"/>
          <w:szCs w:val="22"/>
        </w:rPr>
        <w:t xml:space="preserve"> en calidad de propietaria y/o responsable del establecimiento denominado </w:t>
      </w:r>
      <w:r>
        <w:rPr>
          <w:rFonts w:cs="Arial"/>
          <w:sz w:val="22"/>
          <w:szCs w:val="22"/>
        </w:rPr>
        <w:t>STYLOS LEYDI</w:t>
      </w:r>
      <w:r w:rsidRPr="005D1CAB">
        <w:rPr>
          <w:rFonts w:cs="Arial"/>
          <w:sz w:val="22"/>
          <w:szCs w:val="22"/>
        </w:rPr>
        <w:t>, ubicado</w:t>
      </w:r>
      <w:r>
        <w:rPr>
          <w:rFonts w:cs="Arial"/>
          <w:sz w:val="22"/>
          <w:szCs w:val="22"/>
        </w:rPr>
        <w:t xml:space="preserve"> para la época de los hechos </w:t>
      </w:r>
      <w:r w:rsidRPr="005D1CAB">
        <w:rPr>
          <w:rFonts w:cs="Arial"/>
          <w:sz w:val="22"/>
          <w:szCs w:val="22"/>
        </w:rPr>
        <w:t xml:space="preserve">en la </w:t>
      </w:r>
      <w:r>
        <w:rPr>
          <w:rFonts w:cs="Arial"/>
          <w:sz w:val="22"/>
          <w:szCs w:val="22"/>
        </w:rPr>
        <w:t xml:space="preserve">Cl 44 SUR 22 A 57 Barrio Santa Lucia </w:t>
      </w:r>
      <w:r w:rsidRPr="005D1CAB">
        <w:rPr>
          <w:rFonts w:cs="Arial"/>
          <w:sz w:val="22"/>
          <w:szCs w:val="22"/>
        </w:rPr>
        <w:t xml:space="preserve">de la nomenclatura urbana de la ciudad de Bogotá D.C., al infringir lo dispuesto en la normatividad sanitaria.  </w:t>
      </w:r>
      <w:r>
        <w:rPr>
          <w:rFonts w:cs="Arial"/>
          <w:sz w:val="22"/>
          <w:szCs w:val="22"/>
        </w:rPr>
        <w:t xml:space="preserve"> </w:t>
      </w:r>
      <w:r w:rsidRPr="005D1CAB">
        <w:rPr>
          <w:rFonts w:cs="Arial"/>
          <w:sz w:val="22"/>
          <w:szCs w:val="22"/>
        </w:rPr>
        <w:t xml:space="preserve">          </w:t>
      </w:r>
    </w:p>
    <w:p w:rsidR="000B1B77" w:rsidRPr="00D47B4F" w:rsidRDefault="000B1B77" w:rsidP="000B1B77">
      <w:pPr>
        <w:widowControl w:val="0"/>
        <w:jc w:val="both"/>
        <w:rPr>
          <w:rFonts w:cs="Arial"/>
          <w:i/>
          <w:iCs/>
          <w:sz w:val="22"/>
          <w:szCs w:val="22"/>
        </w:rPr>
      </w:pPr>
      <w:r w:rsidRPr="00D47B4F">
        <w:rPr>
          <w:rFonts w:cs="Arial"/>
          <w:sz w:val="22"/>
          <w:szCs w:val="22"/>
        </w:rPr>
        <w:t xml:space="preserve"> </w:t>
      </w:r>
    </w:p>
    <w:p w:rsidR="000B1B77" w:rsidRPr="00D47B4F" w:rsidRDefault="000B1B77" w:rsidP="000B1B77">
      <w:pPr>
        <w:jc w:val="both"/>
        <w:rPr>
          <w:rFonts w:cs="Arial"/>
          <w:sz w:val="22"/>
          <w:szCs w:val="22"/>
        </w:rPr>
      </w:pPr>
      <w:r w:rsidRPr="00D47B4F">
        <w:rPr>
          <w:rFonts w:cs="Arial"/>
          <w:sz w:val="22"/>
          <w:szCs w:val="22"/>
        </w:rPr>
        <w:t xml:space="preserve">El citado auto contentivo de Pliego de Cargos fue notificado a la investigada de forma electrónica mediante oficio No. </w:t>
      </w:r>
      <w:r>
        <w:rPr>
          <w:rFonts w:cs="Arial"/>
          <w:sz w:val="22"/>
          <w:szCs w:val="22"/>
        </w:rPr>
        <w:t>2022-EE-55510</w:t>
      </w:r>
      <w:r w:rsidRPr="00D47B4F">
        <w:rPr>
          <w:rFonts w:cs="Arial"/>
          <w:sz w:val="22"/>
          <w:szCs w:val="22"/>
        </w:rPr>
        <w:t xml:space="preserve"> del </w:t>
      </w:r>
      <w:r>
        <w:rPr>
          <w:rFonts w:cs="Arial"/>
          <w:sz w:val="22"/>
          <w:szCs w:val="22"/>
        </w:rPr>
        <w:t>16 de mayo de 2022</w:t>
      </w:r>
      <w:r w:rsidRPr="00D47B4F">
        <w:rPr>
          <w:rFonts w:cs="Arial"/>
          <w:sz w:val="22"/>
          <w:szCs w:val="22"/>
        </w:rPr>
        <w:t>, con su correspondiente soporte de recibido certificado el día</w:t>
      </w:r>
      <w:r>
        <w:rPr>
          <w:rFonts w:cs="Arial"/>
          <w:sz w:val="22"/>
          <w:szCs w:val="22"/>
        </w:rPr>
        <w:t xml:space="preserve"> 18 de mayo de 2022</w:t>
      </w:r>
      <w:r w:rsidRPr="00D47B4F">
        <w:rPr>
          <w:rFonts w:cs="Arial"/>
          <w:sz w:val="22"/>
          <w:szCs w:val="22"/>
        </w:rPr>
        <w:t xml:space="preserve">. Folios </w:t>
      </w:r>
      <w:r>
        <w:rPr>
          <w:rFonts w:cs="Arial"/>
          <w:sz w:val="22"/>
          <w:szCs w:val="22"/>
        </w:rPr>
        <w:t>23 y ss</w:t>
      </w:r>
      <w:r w:rsidRPr="00D47B4F">
        <w:rPr>
          <w:rFonts w:cs="Arial"/>
          <w:sz w:val="22"/>
          <w:szCs w:val="22"/>
        </w:rPr>
        <w:t xml:space="preserve"> del expediente materia de estudio.    </w:t>
      </w:r>
    </w:p>
    <w:p w:rsidR="000B1B77" w:rsidRPr="00D47B4F" w:rsidRDefault="000B1B77" w:rsidP="000B1B77">
      <w:pPr>
        <w:widowControl w:val="0"/>
        <w:jc w:val="both"/>
        <w:rPr>
          <w:rFonts w:cs="Arial"/>
          <w:sz w:val="22"/>
          <w:szCs w:val="22"/>
        </w:rPr>
      </w:pPr>
    </w:p>
    <w:p w:rsidR="000B1B77" w:rsidRPr="00D47B4F" w:rsidRDefault="000B1B77" w:rsidP="000B1B77">
      <w:pPr>
        <w:widowControl w:val="0"/>
        <w:jc w:val="both"/>
        <w:rPr>
          <w:rFonts w:cs="Arial"/>
          <w:bCs/>
          <w:sz w:val="22"/>
          <w:szCs w:val="22"/>
        </w:rPr>
      </w:pPr>
      <w:r w:rsidRPr="00D47B4F">
        <w:rPr>
          <w:rFonts w:cs="Arial"/>
          <w:bCs/>
          <w:sz w:val="22"/>
          <w:szCs w:val="22"/>
        </w:rPr>
        <w:t xml:space="preserve">Que Mediante Resolución No. </w:t>
      </w:r>
      <w:r>
        <w:rPr>
          <w:rFonts w:cs="Arial"/>
          <w:sz w:val="22"/>
          <w:szCs w:val="22"/>
        </w:rPr>
        <w:t xml:space="preserve">10709 del 22 de agosto de 2022 </w:t>
      </w:r>
      <w:r w:rsidRPr="00D47B4F">
        <w:rPr>
          <w:rFonts w:cs="Arial"/>
          <w:sz w:val="22"/>
          <w:szCs w:val="22"/>
        </w:rPr>
        <w:t>, la Subdirección de Vigilancia en Salud Pública de la SDS,</w:t>
      </w:r>
      <w:r w:rsidRPr="00D47B4F">
        <w:rPr>
          <w:rFonts w:cs="Arial"/>
          <w:bCs/>
          <w:sz w:val="22"/>
          <w:szCs w:val="22"/>
        </w:rPr>
        <w:t xml:space="preserve"> impuso a la </w:t>
      </w:r>
      <w:r w:rsidRPr="00D47B4F">
        <w:rPr>
          <w:rFonts w:cs="Arial"/>
          <w:sz w:val="22"/>
          <w:szCs w:val="22"/>
        </w:rPr>
        <w:t xml:space="preserve">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w:t>
      </w:r>
      <w:r w:rsidRPr="00D47B4F">
        <w:rPr>
          <w:rFonts w:cs="Arial"/>
          <w:bCs/>
          <w:sz w:val="22"/>
          <w:szCs w:val="22"/>
        </w:rPr>
        <w:t xml:space="preserve">sanción consistente en multa </w:t>
      </w:r>
      <w:r w:rsidRPr="00D47B4F">
        <w:rPr>
          <w:rFonts w:cs="Arial"/>
          <w:sz w:val="22"/>
          <w:szCs w:val="22"/>
        </w:rPr>
        <w:t xml:space="preserve">de </w:t>
      </w:r>
      <w:r>
        <w:rPr>
          <w:rFonts w:cs="Arial"/>
          <w:sz w:val="22"/>
          <w:szCs w:val="22"/>
        </w:rPr>
        <w:t>treinta (30) salarios mínimos legales diarios vigentes</w:t>
      </w:r>
      <w:r w:rsidRPr="00D47B4F">
        <w:rPr>
          <w:rFonts w:cs="Arial"/>
          <w:sz w:val="22"/>
          <w:szCs w:val="22"/>
        </w:rPr>
        <w:t xml:space="preserve"> equivalentes a la suma de UN MILLÓN </w:t>
      </w:r>
      <w:r>
        <w:rPr>
          <w:rFonts w:cs="Arial"/>
          <w:sz w:val="22"/>
          <w:szCs w:val="22"/>
        </w:rPr>
        <w:t>DE</w:t>
      </w:r>
      <w:r w:rsidRPr="00D47B4F">
        <w:rPr>
          <w:rFonts w:cs="Arial"/>
          <w:sz w:val="22"/>
          <w:szCs w:val="22"/>
        </w:rPr>
        <w:t xml:space="preserve"> PESOS M/CTE ($</w:t>
      </w:r>
      <w:r>
        <w:rPr>
          <w:rFonts w:cs="Arial"/>
          <w:sz w:val="22"/>
          <w:szCs w:val="22"/>
        </w:rPr>
        <w:t>1.000.000</w:t>
      </w:r>
      <w:r w:rsidRPr="00D47B4F">
        <w:rPr>
          <w:rFonts w:cs="Arial"/>
          <w:sz w:val="22"/>
          <w:szCs w:val="22"/>
        </w:rPr>
        <w:t xml:space="preserve">), </w:t>
      </w:r>
      <w:r w:rsidRPr="00D47B4F">
        <w:rPr>
          <w:rFonts w:cs="Arial"/>
          <w:bCs/>
          <w:sz w:val="22"/>
          <w:szCs w:val="22"/>
        </w:rPr>
        <w:t xml:space="preserve">conforme a lo expuesto en la resolución materia de alzada.   </w:t>
      </w:r>
      <w:r>
        <w:rPr>
          <w:rFonts w:cs="Arial"/>
          <w:bCs/>
          <w:sz w:val="22"/>
          <w:szCs w:val="22"/>
        </w:rPr>
        <w:t xml:space="preserve"> </w:t>
      </w:r>
      <w:r w:rsidRPr="00D47B4F">
        <w:rPr>
          <w:rFonts w:cs="Arial"/>
          <w:bCs/>
          <w:sz w:val="22"/>
          <w:szCs w:val="22"/>
        </w:rPr>
        <w:t xml:space="preserve">         </w:t>
      </w:r>
    </w:p>
    <w:p w:rsidR="000B1B77" w:rsidRPr="00D47B4F" w:rsidRDefault="000B1B77" w:rsidP="000B1B77">
      <w:pPr>
        <w:widowControl w:val="0"/>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Que, mediante comunicación </w:t>
      </w:r>
      <w:r>
        <w:rPr>
          <w:rFonts w:cs="Arial"/>
          <w:sz w:val="22"/>
          <w:szCs w:val="22"/>
        </w:rPr>
        <w:t>con radicado 2022ER36398 de fecha 7 de septiembre de 2022</w:t>
      </w:r>
      <w:r w:rsidRPr="00D47B4F">
        <w:rPr>
          <w:rFonts w:cs="Arial"/>
          <w:sz w:val="22"/>
          <w:szCs w:val="22"/>
        </w:rPr>
        <w:t xml:space="preserve">, obrante a folios </w:t>
      </w:r>
      <w:r>
        <w:rPr>
          <w:rFonts w:cs="Arial"/>
          <w:sz w:val="22"/>
          <w:szCs w:val="22"/>
        </w:rPr>
        <w:t>67</w:t>
      </w:r>
      <w:r w:rsidRPr="00D47B4F">
        <w:rPr>
          <w:rFonts w:cs="Arial"/>
          <w:sz w:val="22"/>
          <w:szCs w:val="22"/>
        </w:rPr>
        <w:t xml:space="preserve"> y ss. del libelo en estudio,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presentó recursos de reposición y en subsidio apelación en contra de la </w:t>
      </w:r>
      <w:r w:rsidRPr="00D47B4F">
        <w:rPr>
          <w:rFonts w:cs="Arial"/>
          <w:bCs/>
          <w:sz w:val="22"/>
          <w:szCs w:val="22"/>
        </w:rPr>
        <w:t xml:space="preserve">Resolución No. </w:t>
      </w:r>
      <w:r>
        <w:rPr>
          <w:rFonts w:cs="Arial"/>
          <w:sz w:val="22"/>
          <w:szCs w:val="22"/>
        </w:rPr>
        <w:t xml:space="preserve">10709 del 22 de agosto de 2022. </w:t>
      </w:r>
      <w:r w:rsidRPr="00D47B4F">
        <w:rPr>
          <w:rFonts w:cs="Arial"/>
          <w:sz w:val="22"/>
          <w:szCs w:val="22"/>
        </w:rPr>
        <w:t xml:space="preserve"> </w:t>
      </w:r>
      <w:r>
        <w:rPr>
          <w:rFonts w:cs="Arial"/>
          <w:sz w:val="22"/>
          <w:szCs w:val="22"/>
        </w:rPr>
        <w:t xml:space="preserve"> </w:t>
      </w:r>
      <w:r w:rsidRPr="00D47B4F">
        <w:rPr>
          <w:rFonts w:cs="Arial"/>
          <w:sz w:val="22"/>
          <w:szCs w:val="22"/>
        </w:rPr>
        <w:t xml:space="preserve">  </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Que mediante Resolución No. </w:t>
      </w:r>
      <w:r>
        <w:rPr>
          <w:rFonts w:cs="Arial"/>
          <w:sz w:val="22"/>
          <w:szCs w:val="22"/>
        </w:rPr>
        <w:t>13940 del 18 de octubre de 2022</w:t>
      </w:r>
      <w:r w:rsidRPr="00D47B4F">
        <w:rPr>
          <w:rFonts w:cs="Arial"/>
          <w:sz w:val="22"/>
          <w:szCs w:val="22"/>
        </w:rPr>
        <w:t xml:space="preserve"> la Subdirección de Vigilancia en Salud Pública de la SDS</w:t>
      </w:r>
      <w:r w:rsidRPr="00D47B4F">
        <w:rPr>
          <w:rFonts w:cs="Arial"/>
          <w:bCs/>
          <w:sz w:val="22"/>
          <w:szCs w:val="22"/>
        </w:rPr>
        <w:t xml:space="preserve">, </w:t>
      </w:r>
      <w:r w:rsidRPr="00D47B4F">
        <w:rPr>
          <w:rFonts w:cs="Arial"/>
          <w:sz w:val="22"/>
          <w:szCs w:val="22"/>
        </w:rPr>
        <w:t xml:space="preserve">resolvió el recurso de reposición decidiendo confirmar el acto administrativo sancionatorio y en consecuencia concedió el recurso de alzada ante el Despacho del Secretario Distrital de Salud.   </w:t>
      </w:r>
    </w:p>
    <w:p w:rsidR="000B1B77"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Con fundamento en lo expuesto y en lo establecido en el numeral 7 del artículo 3 del Decreto 507 del 06 de noviembre de 2013, este Despacho procede a resolver de fondo el recurso interpuesto. </w:t>
      </w:r>
    </w:p>
    <w:p w:rsidR="000B1B77" w:rsidRPr="00D47B4F" w:rsidRDefault="000B1B77" w:rsidP="000B1B77">
      <w:pPr>
        <w:jc w:val="center"/>
        <w:rPr>
          <w:rFonts w:cs="Arial"/>
          <w:b/>
          <w:bCs/>
          <w:sz w:val="22"/>
          <w:szCs w:val="22"/>
        </w:rPr>
      </w:pPr>
      <w:r w:rsidRPr="00D47B4F">
        <w:rPr>
          <w:rFonts w:cs="Arial"/>
          <w:b/>
          <w:bCs/>
          <w:sz w:val="22"/>
          <w:szCs w:val="22"/>
        </w:rPr>
        <w:lastRenderedPageBreak/>
        <w:t>CONSIDERACIONES DEL DESPACHO</w:t>
      </w:r>
    </w:p>
    <w:p w:rsidR="000B1B77" w:rsidRPr="00D47B4F" w:rsidRDefault="000B1B77" w:rsidP="000B1B77">
      <w:pPr>
        <w:jc w:val="center"/>
        <w:rPr>
          <w:rFonts w:cs="Arial"/>
          <w:b/>
          <w:bCs/>
          <w:sz w:val="22"/>
          <w:szCs w:val="22"/>
        </w:rPr>
      </w:pPr>
    </w:p>
    <w:p w:rsidR="000B1B77" w:rsidRPr="00D47B4F" w:rsidRDefault="000B1B77" w:rsidP="000B1B77">
      <w:pPr>
        <w:widowControl w:val="0"/>
        <w:jc w:val="both"/>
        <w:rPr>
          <w:rFonts w:cs="Arial"/>
          <w:sz w:val="22"/>
          <w:szCs w:val="22"/>
        </w:rPr>
      </w:pPr>
      <w:r w:rsidRPr="00D47B4F">
        <w:rPr>
          <w:rFonts w:cs="Arial"/>
          <w:sz w:val="22"/>
          <w:szCs w:val="22"/>
        </w:rPr>
        <w:t xml:space="preserve">La presente investigación administrativa se origina a raíz de la visita de Inspección, Vigilancia y Control, al establecimiento denominado </w:t>
      </w:r>
      <w:r>
        <w:rPr>
          <w:rFonts w:cs="Arial"/>
          <w:sz w:val="22"/>
          <w:szCs w:val="22"/>
        </w:rPr>
        <w:t>STYLOS LEYDI</w:t>
      </w:r>
      <w:r w:rsidRPr="00D47B4F">
        <w:rPr>
          <w:rFonts w:cs="Arial"/>
          <w:sz w:val="22"/>
          <w:szCs w:val="22"/>
        </w:rPr>
        <w:t xml:space="preserve">, en la que se evidenciaron hallazgos higiénico-sanitarios, en consecuencia, se dispuso a iniciar Proceso Administrativo Sancionatorio en contra de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w:t>
      </w:r>
    </w:p>
    <w:p w:rsidR="000B1B77" w:rsidRPr="00D47B4F" w:rsidRDefault="000B1B77" w:rsidP="000B1B77">
      <w:pPr>
        <w:widowControl w:val="0"/>
        <w:jc w:val="both"/>
        <w:rPr>
          <w:rFonts w:cs="Arial"/>
          <w:sz w:val="22"/>
          <w:szCs w:val="22"/>
        </w:rPr>
      </w:pPr>
    </w:p>
    <w:p w:rsidR="000B1B77" w:rsidRPr="00D47B4F" w:rsidRDefault="000B1B77" w:rsidP="000B1B77">
      <w:pPr>
        <w:widowControl w:val="0"/>
        <w:jc w:val="both"/>
        <w:rPr>
          <w:rFonts w:cs="Arial"/>
          <w:sz w:val="22"/>
          <w:szCs w:val="22"/>
        </w:rPr>
      </w:pPr>
      <w:r w:rsidRPr="00D47B4F">
        <w:rPr>
          <w:rFonts w:cs="Arial"/>
          <w:sz w:val="22"/>
          <w:szCs w:val="22"/>
        </w:rPr>
        <w:t xml:space="preserve">Lo anterior obedece, a que la Subdirección de Vigilancia en Salud Pública de la SDS, </w:t>
      </w:r>
      <w:r w:rsidRPr="00D47B4F">
        <w:rPr>
          <w:rFonts w:cs="Arial"/>
          <w:b/>
          <w:sz w:val="22"/>
          <w:szCs w:val="22"/>
        </w:rPr>
        <w:t>como autoridad sanitaria del Distrito Capital de acuerdo con las competencias establecidas en la Ley 9 de 1979 y Ley 715 de 2001</w:t>
      </w:r>
      <w:r w:rsidRPr="00D47B4F">
        <w:rPr>
          <w:rFonts w:cs="Arial"/>
          <w:sz w:val="22"/>
          <w:szCs w:val="22"/>
        </w:rPr>
        <w:t xml:space="preserve">, dispuso visita de IVC a establecimientos, en el caso particular se visitó el establecimiento, </w:t>
      </w:r>
      <w:r>
        <w:rPr>
          <w:rFonts w:cs="Arial"/>
          <w:sz w:val="22"/>
          <w:szCs w:val="22"/>
        </w:rPr>
        <w:t>STYLOS LEYDI</w:t>
      </w:r>
      <w:r w:rsidRPr="00D47B4F">
        <w:rPr>
          <w:rFonts w:cs="Arial"/>
          <w:sz w:val="22"/>
          <w:szCs w:val="22"/>
        </w:rPr>
        <w:t xml:space="preserve">. Una vez realizadas las visitas, se levantaron las respectivas actas de Inspección Vigilancia y Control Higiénico Sanitaria correspondientes, evidenciando incumplimiento a la normatividad referida en la resolución recurrida, todo lo cual se registró en la misma con los hallazgos encontrados, por lo cual se formuló el Pliego de cargos que concluyo con la sanción hoy materia de alzada.          </w:t>
      </w:r>
    </w:p>
    <w:p w:rsidR="000B1B77" w:rsidRPr="00D47B4F" w:rsidRDefault="000B1B77" w:rsidP="000B1B77">
      <w:pPr>
        <w:jc w:val="both"/>
        <w:rPr>
          <w:rFonts w:cs="Arial"/>
          <w:sz w:val="22"/>
          <w:szCs w:val="22"/>
        </w:rPr>
      </w:pPr>
      <w:r w:rsidRPr="00D47B4F">
        <w:rPr>
          <w:rFonts w:cs="Arial"/>
          <w:sz w:val="22"/>
          <w:szCs w:val="22"/>
        </w:rPr>
        <w:t xml:space="preserve"> </w:t>
      </w:r>
    </w:p>
    <w:p w:rsidR="000B1B77" w:rsidRPr="00D47B4F" w:rsidRDefault="000B1B77" w:rsidP="000B1B77">
      <w:pPr>
        <w:widowControl w:val="0"/>
        <w:jc w:val="both"/>
        <w:rPr>
          <w:rFonts w:cs="Arial"/>
          <w:color w:val="FF0000"/>
          <w:sz w:val="22"/>
          <w:szCs w:val="22"/>
        </w:rPr>
      </w:pPr>
      <w:r w:rsidRPr="00D47B4F">
        <w:rPr>
          <w:rFonts w:cs="Arial"/>
          <w:sz w:val="22"/>
          <w:szCs w:val="22"/>
        </w:rPr>
        <w:t xml:space="preserve">Conforme se evidencia en el expediente, mediante comunicación con radicado </w:t>
      </w:r>
      <w:r>
        <w:rPr>
          <w:rFonts w:cs="Arial"/>
          <w:sz w:val="22"/>
          <w:szCs w:val="22"/>
        </w:rPr>
        <w:t>2022-EE-55510</w:t>
      </w:r>
      <w:r w:rsidRPr="00D47B4F">
        <w:rPr>
          <w:rFonts w:cs="Arial"/>
          <w:sz w:val="22"/>
          <w:szCs w:val="22"/>
        </w:rPr>
        <w:t xml:space="preserve"> fechada del </w:t>
      </w:r>
      <w:r>
        <w:rPr>
          <w:rFonts w:cs="Arial"/>
          <w:sz w:val="22"/>
          <w:szCs w:val="22"/>
        </w:rPr>
        <w:t>16 de mayo de 2022</w:t>
      </w:r>
      <w:r w:rsidRPr="00D47B4F">
        <w:rPr>
          <w:rFonts w:cs="Arial"/>
          <w:sz w:val="22"/>
          <w:szCs w:val="22"/>
        </w:rPr>
        <w:t xml:space="preserve">, la Subdirección de Vigilancia en Salud Pública de la Secretaría Distrital de Salud – SDS, notificó el acto de formulación pliego de cargos dentro de la investigación administrativa No. </w:t>
      </w:r>
      <w:r>
        <w:rPr>
          <w:rFonts w:cs="Arial"/>
          <w:sz w:val="22"/>
          <w:szCs w:val="22"/>
        </w:rPr>
        <w:t>2489-2019</w:t>
      </w:r>
      <w:r w:rsidRPr="00D47B4F">
        <w:rPr>
          <w:rFonts w:cs="Arial"/>
          <w:sz w:val="22"/>
          <w:szCs w:val="22"/>
        </w:rPr>
        <w:t xml:space="preserve">, el cual </w:t>
      </w:r>
      <w:r w:rsidRPr="00D47B4F">
        <w:rPr>
          <w:rFonts w:cs="Arial"/>
          <w:sz w:val="22"/>
          <w:szCs w:val="22"/>
          <w:u w:val="single"/>
        </w:rPr>
        <w:t>fue notificado electrónicamente, a</w:t>
      </w:r>
      <w:r w:rsidRPr="00D47B4F">
        <w:rPr>
          <w:rFonts w:cs="Arial"/>
          <w:sz w:val="22"/>
          <w:szCs w:val="22"/>
        </w:rPr>
        <w:t xml:space="preserve">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w:t>
      </w:r>
    </w:p>
    <w:p w:rsidR="000B1B77" w:rsidRPr="00D47B4F" w:rsidRDefault="000B1B77" w:rsidP="000B1B77">
      <w:pPr>
        <w:widowControl w:val="0"/>
        <w:jc w:val="both"/>
        <w:rPr>
          <w:rFonts w:cs="Arial"/>
          <w:sz w:val="22"/>
          <w:szCs w:val="22"/>
        </w:rPr>
      </w:pPr>
    </w:p>
    <w:p w:rsidR="000B1B77" w:rsidRPr="00D47B4F" w:rsidRDefault="000B1B77" w:rsidP="000B1B77">
      <w:pPr>
        <w:widowControl w:val="0"/>
        <w:jc w:val="both"/>
        <w:rPr>
          <w:rFonts w:cs="Arial"/>
          <w:sz w:val="22"/>
          <w:szCs w:val="22"/>
        </w:rPr>
      </w:pPr>
      <w:r w:rsidRPr="00D47B4F">
        <w:rPr>
          <w:rFonts w:cs="Arial"/>
          <w:sz w:val="22"/>
          <w:szCs w:val="22"/>
        </w:rPr>
        <w:t xml:space="preserve">Así las cosas, en este punto, el </w:t>
      </w:r>
      <w:r w:rsidRPr="00D47B4F">
        <w:rPr>
          <w:rFonts w:cs="Arial"/>
          <w:i/>
          <w:iCs/>
          <w:sz w:val="22"/>
          <w:szCs w:val="22"/>
        </w:rPr>
        <w:t xml:space="preserve">ad quem </w:t>
      </w:r>
      <w:r w:rsidRPr="00D47B4F">
        <w:rPr>
          <w:rFonts w:cs="Arial"/>
          <w:sz w:val="22"/>
          <w:szCs w:val="22"/>
        </w:rPr>
        <w:t xml:space="preserve">considera pertinente y relevante, una vez revisado el caso </w:t>
      </w:r>
      <w:r w:rsidRPr="00D47B4F">
        <w:rPr>
          <w:rFonts w:cs="Arial"/>
          <w:i/>
          <w:iCs/>
          <w:sz w:val="22"/>
          <w:szCs w:val="22"/>
        </w:rPr>
        <w:t>sub examine</w:t>
      </w:r>
      <w:r w:rsidRPr="00D47B4F">
        <w:rPr>
          <w:rFonts w:cs="Arial"/>
          <w:sz w:val="22"/>
          <w:szCs w:val="22"/>
        </w:rPr>
        <w:t xml:space="preserve"> en su integralidad realizar el siguiente análisis: </w:t>
      </w:r>
    </w:p>
    <w:p w:rsidR="000B1B77" w:rsidRPr="00D47B4F" w:rsidRDefault="000B1B77" w:rsidP="000B1B77">
      <w:pPr>
        <w:widowControl w:val="0"/>
        <w:jc w:val="both"/>
        <w:rPr>
          <w:rFonts w:cs="Arial"/>
          <w:sz w:val="22"/>
          <w:szCs w:val="22"/>
        </w:rPr>
      </w:pPr>
    </w:p>
    <w:p w:rsidR="000B1B77" w:rsidRPr="00D47B4F" w:rsidRDefault="000B1B77" w:rsidP="000B1B77">
      <w:pPr>
        <w:widowControl w:val="0"/>
        <w:jc w:val="both"/>
        <w:rPr>
          <w:rFonts w:cs="Arial"/>
          <w:sz w:val="22"/>
          <w:szCs w:val="22"/>
        </w:rPr>
      </w:pPr>
      <w:r w:rsidRPr="00D47B4F">
        <w:rPr>
          <w:rFonts w:cs="Arial"/>
          <w:sz w:val="22"/>
          <w:szCs w:val="22"/>
        </w:rPr>
        <w:t xml:space="preserve">Como premisa fundamental, es necesario precisar por parte del despacho de conocimiento,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rsidR="000B1B77" w:rsidRPr="00D47B4F" w:rsidRDefault="000B1B77" w:rsidP="000B1B77">
      <w:pPr>
        <w:widowControl w:val="0"/>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Una vez estudiado </w:t>
      </w:r>
      <w:r w:rsidRPr="00D47B4F">
        <w:rPr>
          <w:rFonts w:cs="Arial"/>
          <w:i/>
          <w:iCs/>
          <w:sz w:val="22"/>
          <w:szCs w:val="22"/>
        </w:rPr>
        <w:t>ad integram</w:t>
      </w:r>
      <w:r w:rsidRPr="00D47B4F">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rsidR="000B1B77" w:rsidRPr="00D47B4F" w:rsidRDefault="000B1B77" w:rsidP="000B1B77">
      <w:pPr>
        <w:jc w:val="both"/>
        <w:rPr>
          <w:rFonts w:cs="Arial"/>
          <w:sz w:val="22"/>
          <w:szCs w:val="22"/>
        </w:rPr>
      </w:pPr>
    </w:p>
    <w:p w:rsidR="000B1B77" w:rsidRPr="00D47B4F" w:rsidRDefault="000B1B77" w:rsidP="000B1B77">
      <w:pPr>
        <w:tabs>
          <w:tab w:val="left" w:pos="426"/>
        </w:tabs>
        <w:ind w:left="284" w:right="333"/>
        <w:jc w:val="both"/>
        <w:rPr>
          <w:rFonts w:cs="Arial"/>
          <w:sz w:val="22"/>
          <w:szCs w:val="22"/>
        </w:rPr>
      </w:pPr>
      <w:r w:rsidRPr="00D47B4F">
        <w:rPr>
          <w:rFonts w:cs="Arial"/>
          <w:i/>
          <w:sz w:val="20"/>
          <w:szCs w:val="22"/>
        </w:rPr>
        <w:t>“</w:t>
      </w:r>
      <w:r w:rsidRPr="00D47B4F">
        <w:rPr>
          <w:rFonts w:cs="Arial"/>
          <w:i/>
          <w:iCs/>
          <w:sz w:val="20"/>
          <w:szCs w:val="22"/>
        </w:rPr>
        <w:t xml:space="preserve">El debido proceso se aplicará </w:t>
      </w:r>
      <w:r w:rsidRPr="00D47B4F">
        <w:rPr>
          <w:rFonts w:cs="Arial"/>
          <w:b/>
          <w:bCs/>
          <w:i/>
          <w:iCs/>
          <w:sz w:val="20"/>
          <w:szCs w:val="22"/>
        </w:rPr>
        <w:t xml:space="preserve">a toda clase de actuaciones judiciales </w:t>
      </w:r>
      <w:r w:rsidRPr="00D47B4F">
        <w:rPr>
          <w:rFonts w:cs="Arial"/>
          <w:b/>
          <w:bCs/>
          <w:i/>
          <w:iCs/>
          <w:sz w:val="20"/>
          <w:szCs w:val="22"/>
          <w:u w:val="single"/>
        </w:rPr>
        <w:t>y administrativas</w:t>
      </w:r>
      <w:r w:rsidRPr="00D47B4F">
        <w:rPr>
          <w:rFonts w:cs="Arial"/>
          <w:i/>
          <w:iCs/>
          <w:sz w:val="20"/>
          <w:szCs w:val="22"/>
        </w:rPr>
        <w:t xml:space="preserv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w:t>
      </w:r>
      <w:r w:rsidRPr="00D47B4F">
        <w:rPr>
          <w:rFonts w:cs="Arial"/>
          <w:i/>
          <w:sz w:val="20"/>
          <w:szCs w:val="22"/>
        </w:rPr>
        <w:t>”</w:t>
      </w:r>
      <w:r w:rsidRPr="00D47B4F">
        <w:rPr>
          <w:rFonts w:cs="Arial"/>
          <w:sz w:val="22"/>
          <w:szCs w:val="22"/>
        </w:rPr>
        <w:t xml:space="preserve">. </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lastRenderedPageBreak/>
        <w:t>También, al respecto, la Honorable Corte Constitucional, en Sentencia C- 713 de 2012, con ponencia del Magistrado ALFREDO BELTRAN SIERRA, precisó:</w:t>
      </w:r>
    </w:p>
    <w:p w:rsidR="000B1B77" w:rsidRPr="00D47B4F" w:rsidRDefault="000B1B77" w:rsidP="000B1B77">
      <w:pPr>
        <w:jc w:val="both"/>
        <w:rPr>
          <w:rFonts w:cs="Arial"/>
          <w:sz w:val="22"/>
          <w:szCs w:val="22"/>
        </w:rPr>
      </w:pPr>
    </w:p>
    <w:p w:rsidR="000B1B77" w:rsidRPr="00D47B4F" w:rsidRDefault="000B1B77" w:rsidP="000B1B77">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El artículo 29 constitucional dispone que el debido proceso “se aplicará </w:t>
      </w:r>
      <w:r w:rsidRPr="00D47B4F">
        <w:rPr>
          <w:rFonts w:cs="Arial"/>
          <w:b/>
          <w:bCs/>
          <w:i/>
          <w:iCs/>
          <w:sz w:val="20"/>
          <w:szCs w:val="22"/>
        </w:rPr>
        <w:t>a toda clase de actuaciones judiciales y administrativas</w:t>
      </w:r>
      <w:r w:rsidRPr="00D47B4F">
        <w:rPr>
          <w:rFonts w:cs="Arial"/>
          <w:i/>
          <w:iCs/>
          <w:sz w:val="20"/>
          <w:szCs w:val="22"/>
        </w:rPr>
        <w:t xml:space="preserve">", constituyéndose en la regulación jurídica previa que limita los poderes del Estado </w:t>
      </w:r>
      <w:r w:rsidRPr="00D47B4F">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D47B4F">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todo ello, </w:t>
      </w:r>
      <w:r w:rsidRPr="00D47B4F">
        <w:rPr>
          <w:rFonts w:cs="Arial"/>
          <w:b/>
          <w:bCs/>
          <w:i/>
          <w:iCs/>
          <w:sz w:val="20"/>
          <w:szCs w:val="22"/>
        </w:rPr>
        <w:t xml:space="preserve">con el fin de garantizar el debido proceso, </w:t>
      </w:r>
      <w:r w:rsidRPr="00D47B4F">
        <w:rPr>
          <w:rFonts w:cs="Arial"/>
          <w:b/>
          <w:bCs/>
          <w:i/>
          <w:iCs/>
          <w:sz w:val="20"/>
          <w:szCs w:val="22"/>
          <w:u w:val="single"/>
        </w:rPr>
        <w:t>dentro del cual se reconoce como pilar fundamental el principio de legalidad</w:t>
      </w:r>
      <w:r w:rsidRPr="00D47B4F">
        <w:rPr>
          <w:rFonts w:cs="Arial"/>
          <w:i/>
          <w:sz w:val="20"/>
          <w:szCs w:val="22"/>
        </w:rPr>
        <w:t xml:space="preserve">". </w:t>
      </w:r>
      <w:r w:rsidRPr="00D47B4F">
        <w:rPr>
          <w:rFonts w:cs="Arial"/>
          <w:i/>
          <w:iCs/>
          <w:sz w:val="20"/>
          <w:szCs w:val="22"/>
        </w:rPr>
        <w:t>(Resaltado propio)</w:t>
      </w:r>
    </w:p>
    <w:p w:rsidR="000B1B77" w:rsidRPr="00D47B4F" w:rsidRDefault="000B1B77" w:rsidP="000B1B77">
      <w:pPr>
        <w:ind w:left="708"/>
        <w:jc w:val="both"/>
        <w:rPr>
          <w:rFonts w:cs="Arial"/>
          <w:i/>
          <w:sz w:val="20"/>
          <w:szCs w:val="22"/>
        </w:rPr>
      </w:pPr>
    </w:p>
    <w:p w:rsidR="000B1B77" w:rsidRPr="00D47B4F" w:rsidRDefault="000B1B77" w:rsidP="000B1B77">
      <w:pPr>
        <w:jc w:val="both"/>
        <w:rPr>
          <w:rFonts w:cs="Arial"/>
          <w:iCs/>
          <w:sz w:val="22"/>
          <w:szCs w:val="22"/>
        </w:rPr>
      </w:pPr>
      <w:r w:rsidRPr="00D47B4F">
        <w:rPr>
          <w:rFonts w:cs="Arial"/>
          <w:iCs/>
          <w:sz w:val="22"/>
          <w:szCs w:val="22"/>
        </w:rPr>
        <w:t>Ahora, entre los elementos más importantes del debido proceso, la Corte Constitucional ha destacado:</w:t>
      </w:r>
    </w:p>
    <w:p w:rsidR="000B1B77" w:rsidRPr="00D47B4F" w:rsidRDefault="000B1B77" w:rsidP="000B1B77">
      <w:pPr>
        <w:jc w:val="both"/>
        <w:rPr>
          <w:rFonts w:cs="Arial"/>
          <w:iCs/>
          <w:sz w:val="22"/>
          <w:szCs w:val="22"/>
        </w:rPr>
      </w:pPr>
      <w:r w:rsidRPr="00D47B4F">
        <w:rPr>
          <w:rFonts w:cs="Arial"/>
          <w:iCs/>
          <w:sz w:val="22"/>
          <w:szCs w:val="22"/>
        </w:rPr>
        <w:t xml:space="preserve"> </w:t>
      </w:r>
    </w:p>
    <w:p w:rsidR="000B1B77" w:rsidRPr="00D47B4F" w:rsidRDefault="000B1B77" w:rsidP="000B1B77">
      <w:pPr>
        <w:ind w:left="284" w:right="333"/>
        <w:jc w:val="both"/>
        <w:rPr>
          <w:rFonts w:cs="Arial"/>
          <w:i/>
          <w:iCs/>
          <w:sz w:val="20"/>
          <w:szCs w:val="20"/>
        </w:rPr>
      </w:pPr>
      <w:r w:rsidRPr="00D47B4F">
        <w:rPr>
          <w:rFonts w:cs="Arial"/>
          <w:i/>
          <w:iCs/>
          <w:sz w:val="20"/>
          <w:szCs w:val="20"/>
        </w:rPr>
        <w:t xml:space="preserve">“(…) (i) el derecho a conocer el inicio de la actuación; (ii) </w:t>
      </w:r>
      <w:r w:rsidRPr="00D47B4F">
        <w:rPr>
          <w:rFonts w:cs="Arial"/>
          <w:bCs/>
          <w:i/>
          <w:iCs/>
          <w:sz w:val="20"/>
          <w:szCs w:val="20"/>
        </w:rPr>
        <w:t>a ser oído durante el trámite</w:t>
      </w:r>
      <w:r w:rsidRPr="00D47B4F">
        <w:rPr>
          <w:rFonts w:cs="Arial"/>
          <w:i/>
          <w:iCs/>
          <w:sz w:val="20"/>
          <w:szCs w:val="20"/>
        </w:rPr>
        <w:t xml:space="preserve">, (iii) </w:t>
      </w:r>
      <w:r w:rsidRPr="00D47B4F">
        <w:rPr>
          <w:rFonts w:cs="Arial"/>
          <w:b/>
          <w:bCs/>
          <w:i/>
          <w:iCs/>
          <w:sz w:val="20"/>
          <w:szCs w:val="20"/>
          <w:u w:val="single"/>
        </w:rPr>
        <w:t>a ser notificado en debida forma</w:t>
      </w:r>
      <w:r w:rsidRPr="00D47B4F">
        <w:rPr>
          <w:rFonts w:cs="Arial"/>
          <w:i/>
          <w:iCs/>
          <w:sz w:val="20"/>
          <w:szCs w:val="20"/>
        </w:rPr>
        <w:t xml:space="preserve">, (iv) a que se adelante por la autoridad competente y </w:t>
      </w:r>
      <w:r w:rsidRPr="00D47B4F">
        <w:rPr>
          <w:rFonts w:cs="Arial"/>
          <w:b/>
          <w:bCs/>
          <w:i/>
          <w:iCs/>
          <w:sz w:val="20"/>
          <w:szCs w:val="20"/>
          <w:u w:val="single"/>
        </w:rPr>
        <w:t>con pleno respeto de las formas propias de cada juicio definidas por el legislador</w:t>
      </w:r>
      <w:r w:rsidRPr="00D47B4F">
        <w:rPr>
          <w:rFonts w:cs="Arial"/>
          <w:i/>
          <w:iCs/>
          <w:sz w:val="20"/>
          <w:szCs w:val="20"/>
        </w:rPr>
        <w:t xml:space="preserve">, (v) a que no se presenten dilaciones injustificadas,(vii) a gozar de la presunción de inocencia, (viii) </w:t>
      </w:r>
      <w:r w:rsidRPr="00D47B4F">
        <w:rPr>
          <w:rFonts w:cs="Arial"/>
          <w:bCs/>
          <w:i/>
          <w:iCs/>
          <w:sz w:val="20"/>
          <w:szCs w:val="20"/>
        </w:rPr>
        <w:t>a ejercer derechos de defensa y contradicción</w:t>
      </w:r>
      <w:r w:rsidRPr="00D47B4F">
        <w:rPr>
          <w:rFonts w:cs="Arial"/>
          <w:i/>
          <w:iCs/>
          <w:sz w:val="20"/>
          <w:szCs w:val="20"/>
        </w:rPr>
        <w:t xml:space="preserve">, (ix) a presentar pruebas y a controvertir las que alleguen por la parte contraria , (x) </w:t>
      </w:r>
      <w:r w:rsidRPr="00D47B4F">
        <w:rPr>
          <w:rFonts w:cs="Arial"/>
          <w:bCs/>
          <w:i/>
          <w:iCs/>
          <w:sz w:val="20"/>
          <w:szCs w:val="20"/>
        </w:rPr>
        <w:t>a que se resuelva en forma motivada</w:t>
      </w:r>
      <w:r w:rsidRPr="00D47B4F">
        <w:rPr>
          <w:rFonts w:cs="Arial"/>
          <w:i/>
          <w:iCs/>
          <w:sz w:val="20"/>
          <w:szCs w:val="20"/>
        </w:rPr>
        <w:t>, (xi) a impugnar la decisión que se adopte y a ( xii) promover la nulidad de los actos administrativos que se expidan con vulneración al debido proceso (…)”. (Sentencia C-248 de 2013) (Subrayado fuera de texto).</w:t>
      </w:r>
    </w:p>
    <w:p w:rsidR="000B1B77" w:rsidRPr="00D47B4F" w:rsidRDefault="000B1B77" w:rsidP="000B1B77">
      <w:pPr>
        <w:jc w:val="both"/>
        <w:rPr>
          <w:rFonts w:cs="Arial"/>
          <w:iCs/>
          <w:sz w:val="22"/>
          <w:szCs w:val="22"/>
        </w:rPr>
      </w:pPr>
      <w:r w:rsidRPr="00D47B4F">
        <w:rPr>
          <w:rFonts w:cs="Arial"/>
          <w:iCs/>
          <w:sz w:val="22"/>
          <w:szCs w:val="22"/>
        </w:rPr>
        <w:br/>
        <w:t xml:space="preserve">El debido proceso administrativo también ha sido definido por la Corte Constitucional como: </w:t>
      </w:r>
      <w:r w:rsidRPr="00D47B4F">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D47B4F">
        <w:rPr>
          <w:rFonts w:cs="Arial"/>
          <w:b/>
          <w:bCs/>
          <w:i/>
          <w:iCs/>
          <w:sz w:val="22"/>
          <w:szCs w:val="22"/>
          <w:u w:val="single"/>
        </w:rPr>
        <w:t>asegurar el ordenado funcionamiento de la administración</w:t>
      </w:r>
      <w:r w:rsidRPr="00D47B4F">
        <w:rPr>
          <w:rFonts w:cs="Arial"/>
          <w:i/>
          <w:iCs/>
          <w:sz w:val="22"/>
          <w:szCs w:val="22"/>
        </w:rPr>
        <w:t xml:space="preserve">, (ii) </w:t>
      </w:r>
      <w:r w:rsidRPr="00D47B4F">
        <w:rPr>
          <w:rFonts w:cs="Arial"/>
          <w:b/>
          <w:bCs/>
          <w:i/>
          <w:iCs/>
          <w:sz w:val="22"/>
          <w:szCs w:val="22"/>
          <w:u w:val="single"/>
        </w:rPr>
        <w:t>la validez de sus propias actuaciones</w:t>
      </w:r>
      <w:r w:rsidRPr="00D47B4F">
        <w:rPr>
          <w:rFonts w:cs="Arial"/>
          <w:i/>
          <w:iCs/>
          <w:sz w:val="22"/>
          <w:szCs w:val="22"/>
        </w:rPr>
        <w:t xml:space="preserve"> y, (iii) </w:t>
      </w:r>
      <w:r w:rsidRPr="00D47B4F">
        <w:rPr>
          <w:rFonts w:cs="Arial"/>
          <w:b/>
          <w:bCs/>
          <w:i/>
          <w:iCs/>
          <w:sz w:val="22"/>
          <w:szCs w:val="22"/>
          <w:u w:val="single"/>
        </w:rPr>
        <w:t>resguardar el derecho a la seguridad jurídica y a la defensa de los administrados</w:t>
      </w:r>
      <w:r w:rsidRPr="00D47B4F">
        <w:rPr>
          <w:rFonts w:cs="Arial"/>
          <w:i/>
          <w:iCs/>
          <w:sz w:val="22"/>
          <w:szCs w:val="22"/>
        </w:rPr>
        <w:t>”</w:t>
      </w:r>
      <w:r w:rsidRPr="00D47B4F">
        <w:rPr>
          <w:rFonts w:cs="Arial"/>
          <w:iCs/>
          <w:sz w:val="22"/>
          <w:szCs w:val="22"/>
        </w:rPr>
        <w:t>. (Sentencia T-051/16).</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w:t>
      </w:r>
    </w:p>
    <w:p w:rsidR="000B1B77" w:rsidRPr="00D47B4F" w:rsidRDefault="000B1B77" w:rsidP="000B1B77">
      <w:pPr>
        <w:jc w:val="both"/>
        <w:rPr>
          <w:rFonts w:cs="Arial"/>
          <w:sz w:val="14"/>
          <w:szCs w:val="22"/>
        </w:rPr>
      </w:pPr>
    </w:p>
    <w:p w:rsidR="000B1B77" w:rsidRPr="00D47B4F" w:rsidRDefault="000B1B77" w:rsidP="000B1B77">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ARTICULO 3o. </w:t>
      </w:r>
      <w:r w:rsidRPr="00D47B4F">
        <w:rPr>
          <w:rFonts w:cs="Arial"/>
          <w:b/>
          <w:i/>
          <w:iCs/>
          <w:sz w:val="20"/>
          <w:szCs w:val="22"/>
          <w:u w:val="single"/>
        </w:rPr>
        <w:t>PRINCIPIOS</w:t>
      </w:r>
      <w:r w:rsidRPr="00D47B4F">
        <w:rPr>
          <w:rFonts w:cs="Arial"/>
          <w:i/>
          <w:iCs/>
          <w:sz w:val="20"/>
          <w:szCs w:val="22"/>
        </w:rPr>
        <w:t xml:space="preserve">. Todas las autoridades deberán interpretar y aplicar las disposiciones que regulan las actuaciones y procedimientos administrativos </w:t>
      </w:r>
      <w:r w:rsidRPr="00D47B4F">
        <w:rPr>
          <w:rFonts w:cs="Arial"/>
          <w:b/>
          <w:i/>
          <w:iCs/>
          <w:sz w:val="20"/>
          <w:szCs w:val="22"/>
        </w:rPr>
        <w:t>a la luz de los principios consagrados en la Constitución Política, en la Parte Primera de este Código y en las leyes especiales</w:t>
      </w:r>
      <w:r w:rsidRPr="00D47B4F">
        <w:rPr>
          <w:rFonts w:cs="Arial"/>
          <w:i/>
          <w:iCs/>
          <w:sz w:val="20"/>
          <w:szCs w:val="22"/>
        </w:rPr>
        <w:t>.</w:t>
      </w:r>
    </w:p>
    <w:p w:rsidR="000B1B77" w:rsidRPr="00D47B4F" w:rsidRDefault="000B1B77" w:rsidP="000B1B77">
      <w:pPr>
        <w:ind w:left="284" w:right="333"/>
        <w:jc w:val="both"/>
        <w:rPr>
          <w:rFonts w:cs="Arial"/>
          <w:i/>
          <w:iCs/>
          <w:sz w:val="20"/>
          <w:szCs w:val="22"/>
        </w:rPr>
      </w:pPr>
    </w:p>
    <w:p w:rsidR="000B1B77" w:rsidRPr="00D47B4F" w:rsidRDefault="000B1B77" w:rsidP="000B1B77">
      <w:pPr>
        <w:ind w:left="284" w:right="333"/>
        <w:jc w:val="both"/>
        <w:rPr>
          <w:rFonts w:cs="Arial"/>
          <w:i/>
          <w:iCs/>
          <w:sz w:val="22"/>
          <w:szCs w:val="22"/>
        </w:rPr>
      </w:pPr>
      <w:r w:rsidRPr="00D47B4F">
        <w:rPr>
          <w:rFonts w:cs="Arial"/>
          <w:i/>
          <w:iCs/>
          <w:sz w:val="20"/>
          <w:szCs w:val="22"/>
        </w:rPr>
        <w:t xml:space="preserve">Las actuaciones administrativas se desarrollarán, especialmente, con arreglo a los principios del </w:t>
      </w:r>
      <w:r w:rsidRPr="00D47B4F">
        <w:rPr>
          <w:rFonts w:cs="Arial"/>
          <w:b/>
          <w:i/>
          <w:iCs/>
          <w:sz w:val="20"/>
          <w:szCs w:val="22"/>
          <w:u w:val="single"/>
        </w:rPr>
        <w:t>debido proceso</w:t>
      </w:r>
      <w:r w:rsidRPr="00D47B4F">
        <w:rPr>
          <w:rFonts w:cs="Arial"/>
          <w:i/>
          <w:iCs/>
          <w:sz w:val="20"/>
          <w:szCs w:val="22"/>
        </w:rPr>
        <w:t xml:space="preserve">, igualdad, imparcialidad, buena fe, moralidad, participación, responsabilidad, transparencia, </w:t>
      </w:r>
      <w:r w:rsidRPr="00D47B4F">
        <w:rPr>
          <w:rFonts w:cs="Arial"/>
          <w:b/>
          <w:i/>
          <w:iCs/>
          <w:sz w:val="20"/>
          <w:szCs w:val="22"/>
          <w:u w:val="single"/>
        </w:rPr>
        <w:t>publicidad</w:t>
      </w:r>
      <w:r w:rsidRPr="00D47B4F">
        <w:rPr>
          <w:rFonts w:cs="Arial"/>
          <w:i/>
          <w:iCs/>
          <w:sz w:val="20"/>
          <w:szCs w:val="22"/>
        </w:rPr>
        <w:t xml:space="preserve">, coordinación, eficacia, economía y celeridad. </w:t>
      </w:r>
    </w:p>
    <w:p w:rsidR="000B1B77" w:rsidRPr="00D47B4F" w:rsidRDefault="000B1B77" w:rsidP="000B1B77">
      <w:pPr>
        <w:ind w:left="284" w:right="333"/>
        <w:jc w:val="both"/>
        <w:rPr>
          <w:rFonts w:cs="Arial"/>
          <w:i/>
          <w:iCs/>
          <w:sz w:val="20"/>
          <w:szCs w:val="22"/>
        </w:rPr>
      </w:pPr>
    </w:p>
    <w:p w:rsidR="000B1B77" w:rsidRPr="00D47B4F" w:rsidRDefault="000B1B77" w:rsidP="000B1B77">
      <w:pPr>
        <w:ind w:left="284" w:right="333"/>
        <w:jc w:val="both"/>
        <w:rPr>
          <w:rFonts w:cs="Arial"/>
          <w:i/>
          <w:iCs/>
          <w:sz w:val="20"/>
          <w:szCs w:val="22"/>
        </w:rPr>
      </w:pPr>
      <w:r w:rsidRPr="00D47B4F">
        <w:rPr>
          <w:rFonts w:cs="Arial"/>
          <w:i/>
          <w:iCs/>
          <w:sz w:val="20"/>
          <w:szCs w:val="22"/>
        </w:rPr>
        <w:lastRenderedPageBreak/>
        <w:t>1.En virtud del principio del debido proceso</w:t>
      </w:r>
      <w:r w:rsidRPr="00D47B4F">
        <w:rPr>
          <w:rFonts w:cs="Arial"/>
          <w:b/>
          <w:i/>
          <w:iCs/>
          <w:sz w:val="20"/>
          <w:szCs w:val="22"/>
        </w:rPr>
        <w:t xml:space="preserve">, </w:t>
      </w:r>
      <w:r w:rsidRPr="00D47B4F">
        <w:rPr>
          <w:rFonts w:cs="Arial"/>
          <w:b/>
          <w:i/>
          <w:iCs/>
          <w:sz w:val="20"/>
          <w:szCs w:val="22"/>
          <w:u w:val="single"/>
        </w:rPr>
        <w:t>las actuaciones administrativas se adelantarán de conformidad con las normas de procedimiento</w:t>
      </w:r>
      <w:r w:rsidRPr="00D47B4F">
        <w:rPr>
          <w:rFonts w:cs="Arial"/>
          <w:i/>
          <w:iCs/>
          <w:sz w:val="20"/>
          <w:szCs w:val="22"/>
        </w:rPr>
        <w:t xml:space="preserve"> y competencia establecidas en la Constitución y la ley, </w:t>
      </w:r>
      <w:r w:rsidRPr="00D47B4F">
        <w:rPr>
          <w:rFonts w:cs="Arial"/>
          <w:b/>
          <w:bCs/>
          <w:i/>
          <w:iCs/>
          <w:sz w:val="20"/>
          <w:szCs w:val="22"/>
        </w:rPr>
        <w:t>con plena garantía de los derechos de representación, defensa y contradicción</w:t>
      </w:r>
      <w:r w:rsidRPr="00D47B4F">
        <w:rPr>
          <w:rFonts w:cs="Arial"/>
          <w:i/>
          <w:iCs/>
          <w:sz w:val="20"/>
          <w:szCs w:val="22"/>
        </w:rPr>
        <w:t>.</w:t>
      </w:r>
    </w:p>
    <w:p w:rsidR="000B1B77" w:rsidRPr="00D47B4F" w:rsidRDefault="000B1B77" w:rsidP="000B1B77">
      <w:pPr>
        <w:ind w:left="284" w:right="333"/>
        <w:jc w:val="both"/>
        <w:rPr>
          <w:rFonts w:cs="Arial"/>
          <w:i/>
          <w:iCs/>
          <w:sz w:val="20"/>
          <w:szCs w:val="22"/>
        </w:rPr>
      </w:pPr>
    </w:p>
    <w:p w:rsidR="000B1B77" w:rsidRPr="00D47B4F" w:rsidRDefault="000B1B77" w:rsidP="000B1B77">
      <w:pPr>
        <w:ind w:left="284" w:right="333"/>
        <w:jc w:val="both"/>
        <w:rPr>
          <w:rFonts w:cs="Arial"/>
          <w:i/>
          <w:iCs/>
          <w:sz w:val="20"/>
          <w:szCs w:val="22"/>
        </w:rPr>
      </w:pPr>
      <w:r w:rsidRPr="00D47B4F">
        <w:rPr>
          <w:rFonts w:cs="Arial"/>
          <w:i/>
          <w:iCs/>
          <w:sz w:val="20"/>
          <w:szCs w:val="22"/>
        </w:rPr>
        <w:t>En materia administrativa sancionatoria, se observarán adicionalmente los principios de legalidad de las faltas y de las sanciones, de presunción de inocencia, de no reformatio in pejus y non bis in Ídem.</w:t>
      </w:r>
    </w:p>
    <w:p w:rsidR="000B1B77" w:rsidRPr="00D47B4F" w:rsidRDefault="000B1B77" w:rsidP="000B1B77">
      <w:pPr>
        <w:ind w:left="284" w:right="333"/>
        <w:jc w:val="both"/>
        <w:rPr>
          <w:rFonts w:cs="Arial"/>
          <w:i/>
          <w:iCs/>
          <w:sz w:val="20"/>
          <w:szCs w:val="22"/>
        </w:rPr>
      </w:pPr>
      <w:r w:rsidRPr="00D47B4F">
        <w:rPr>
          <w:rFonts w:cs="Arial"/>
          <w:i/>
          <w:iCs/>
          <w:sz w:val="20"/>
          <w:szCs w:val="22"/>
        </w:rPr>
        <w:t>(…)</w:t>
      </w:r>
    </w:p>
    <w:p w:rsidR="000B1B77" w:rsidRPr="00D47B4F" w:rsidRDefault="000B1B77" w:rsidP="000B1B77">
      <w:pPr>
        <w:ind w:left="284" w:right="333"/>
        <w:jc w:val="both"/>
        <w:rPr>
          <w:rFonts w:cs="Arial"/>
          <w:i/>
          <w:iCs/>
          <w:sz w:val="20"/>
          <w:szCs w:val="22"/>
        </w:rPr>
      </w:pPr>
    </w:p>
    <w:p w:rsidR="000B1B77" w:rsidRPr="00D47B4F" w:rsidRDefault="000B1B77" w:rsidP="000B1B77">
      <w:pPr>
        <w:ind w:left="284" w:right="333"/>
        <w:jc w:val="both"/>
        <w:rPr>
          <w:rFonts w:cs="Arial"/>
          <w:i/>
          <w:sz w:val="20"/>
          <w:szCs w:val="22"/>
        </w:rPr>
      </w:pPr>
      <w:r w:rsidRPr="00D47B4F">
        <w:rPr>
          <w:rFonts w:cs="Arial"/>
          <w:i/>
          <w:iCs/>
          <w:sz w:val="20"/>
          <w:szCs w:val="22"/>
        </w:rPr>
        <w:t xml:space="preserve">9. En virtud del </w:t>
      </w:r>
      <w:r w:rsidRPr="00D47B4F">
        <w:rPr>
          <w:rFonts w:cs="Arial"/>
          <w:b/>
          <w:i/>
          <w:iCs/>
          <w:sz w:val="20"/>
          <w:szCs w:val="22"/>
          <w:u w:val="single"/>
        </w:rPr>
        <w:t>principio de publicidad</w:t>
      </w:r>
      <w:r w:rsidRPr="00D47B4F">
        <w:rPr>
          <w:rFonts w:cs="Arial"/>
          <w:i/>
          <w:iCs/>
          <w:sz w:val="20"/>
          <w:szCs w:val="22"/>
        </w:rPr>
        <w:t xml:space="preserve">, las autoridades darán a conocer al público y a los interesados, en forma sistemática y permanente, sin que medie petición alguna, </w:t>
      </w:r>
      <w:r w:rsidRPr="00D47B4F">
        <w:rPr>
          <w:rFonts w:cs="Arial"/>
          <w:b/>
          <w:i/>
          <w:iCs/>
          <w:sz w:val="20"/>
          <w:szCs w:val="22"/>
        </w:rPr>
        <w:t>sus actos</w:t>
      </w:r>
      <w:r w:rsidRPr="00D47B4F">
        <w:rPr>
          <w:rFonts w:cs="Arial"/>
          <w:i/>
          <w:iCs/>
          <w:sz w:val="20"/>
          <w:szCs w:val="22"/>
        </w:rPr>
        <w:t xml:space="preserve">, contratos </w:t>
      </w:r>
      <w:r w:rsidRPr="00D47B4F">
        <w:rPr>
          <w:rFonts w:cs="Arial"/>
          <w:b/>
          <w:i/>
          <w:iCs/>
          <w:sz w:val="20"/>
          <w:szCs w:val="22"/>
        </w:rPr>
        <w:t>y resoluciones</w:t>
      </w:r>
      <w:r w:rsidRPr="00D47B4F">
        <w:rPr>
          <w:rFonts w:cs="Arial"/>
          <w:i/>
          <w:iCs/>
          <w:sz w:val="20"/>
          <w:szCs w:val="22"/>
        </w:rPr>
        <w:t xml:space="preserve">, mediante las comunicaciones, </w:t>
      </w:r>
      <w:r w:rsidRPr="00D47B4F">
        <w:rPr>
          <w:rFonts w:cs="Arial"/>
          <w:b/>
          <w:i/>
          <w:iCs/>
          <w:sz w:val="20"/>
          <w:szCs w:val="22"/>
          <w:u w:val="single"/>
        </w:rPr>
        <w:t>notificaciones</w:t>
      </w:r>
      <w:r w:rsidRPr="00D47B4F">
        <w:rPr>
          <w:rFonts w:cs="Arial"/>
          <w:i/>
          <w:iCs/>
          <w:sz w:val="20"/>
          <w:szCs w:val="22"/>
        </w:rPr>
        <w:t xml:space="preserve"> y publicaciones que ordene la ley, incluyendo el empleo de tecnologías que permitan difundir de manera masiva tal información de conformidad con lo dispuesto en este Código. (…).”</w:t>
      </w:r>
      <w:r w:rsidRPr="00D47B4F">
        <w:rPr>
          <w:rFonts w:cs="Arial"/>
          <w:i/>
          <w:sz w:val="20"/>
          <w:szCs w:val="22"/>
        </w:rPr>
        <w:t xml:space="preserve"> (Resaltado fuera del texto original)</w:t>
      </w:r>
    </w:p>
    <w:p w:rsidR="000B1B77" w:rsidRPr="00D47B4F" w:rsidRDefault="000B1B77" w:rsidP="000B1B77">
      <w:pPr>
        <w:jc w:val="both"/>
        <w:rPr>
          <w:rFonts w:cs="Arial"/>
          <w:i/>
          <w:sz w:val="20"/>
          <w:szCs w:val="22"/>
        </w:rPr>
      </w:pPr>
    </w:p>
    <w:p w:rsidR="000B1B77" w:rsidRPr="00D47B4F" w:rsidRDefault="000B1B77" w:rsidP="000B1B77">
      <w:pPr>
        <w:jc w:val="both"/>
        <w:rPr>
          <w:rFonts w:cs="Arial"/>
          <w:sz w:val="22"/>
          <w:szCs w:val="22"/>
        </w:rPr>
      </w:pPr>
      <w:r w:rsidRPr="00D47B4F">
        <w:rPr>
          <w:rFonts w:cs="Arial"/>
          <w:sz w:val="22"/>
          <w:szCs w:val="22"/>
        </w:rPr>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rsidR="000B1B77" w:rsidRPr="00D47B4F" w:rsidRDefault="000B1B77" w:rsidP="000B1B77">
      <w:pPr>
        <w:jc w:val="both"/>
        <w:rPr>
          <w:rFonts w:cs="Arial"/>
          <w:sz w:val="22"/>
          <w:szCs w:val="22"/>
        </w:rPr>
      </w:pPr>
    </w:p>
    <w:p w:rsidR="000B1B77" w:rsidRPr="00D47B4F" w:rsidRDefault="000B1B77" w:rsidP="000B1B77">
      <w:pPr>
        <w:jc w:val="both"/>
        <w:rPr>
          <w:rFonts w:cs="Arial"/>
          <w:i/>
          <w:sz w:val="20"/>
          <w:szCs w:val="22"/>
        </w:rPr>
      </w:pPr>
      <w:r w:rsidRPr="00D47B4F">
        <w:rPr>
          <w:rFonts w:cs="Arial"/>
          <w:sz w:val="22"/>
          <w:szCs w:val="22"/>
        </w:rPr>
        <w:t xml:space="preserve">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 </w:t>
      </w:r>
    </w:p>
    <w:p w:rsidR="000B1B77" w:rsidRPr="00D47B4F" w:rsidRDefault="000B1B77" w:rsidP="000B1B77">
      <w:pPr>
        <w:jc w:val="both"/>
        <w:rPr>
          <w:rFonts w:cs="Arial"/>
          <w:i/>
          <w:sz w:val="20"/>
          <w:szCs w:val="22"/>
        </w:rPr>
      </w:pPr>
    </w:p>
    <w:p w:rsidR="000B1B77" w:rsidRPr="00D47B4F" w:rsidRDefault="000B1B77" w:rsidP="000B1B77">
      <w:pPr>
        <w:jc w:val="both"/>
        <w:rPr>
          <w:rFonts w:cs="Arial"/>
          <w:sz w:val="22"/>
          <w:szCs w:val="22"/>
        </w:rPr>
      </w:pPr>
      <w:r w:rsidRPr="00D47B4F">
        <w:rPr>
          <w:rFonts w:cs="Arial"/>
          <w:sz w:val="22"/>
          <w:szCs w:val="22"/>
        </w:rPr>
        <w:t xml:space="preserve">En tal caso y al consultar íntegramente el expediente </w:t>
      </w:r>
      <w:r w:rsidRPr="00D47B4F">
        <w:rPr>
          <w:rFonts w:cs="Arial"/>
          <w:i/>
          <w:sz w:val="22"/>
          <w:szCs w:val="22"/>
        </w:rPr>
        <w:t>sub examine</w:t>
      </w:r>
      <w:r w:rsidRPr="00D47B4F">
        <w:rPr>
          <w:rFonts w:cs="Arial"/>
          <w:sz w:val="22"/>
          <w:szCs w:val="22"/>
        </w:rPr>
        <w:t xml:space="preserve">, este Despacho evidenció que, efectivamente la formulación de pliegos dentro del procedimiento administrativo sancionatorio fue notificado electrónicamente a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w:t>
      </w:r>
      <w:r w:rsidRPr="00D47B4F">
        <w:rPr>
          <w:rFonts w:cs="Arial"/>
          <w:b/>
          <w:bCs/>
          <w:sz w:val="22"/>
          <w:szCs w:val="22"/>
          <w:u w:val="single"/>
        </w:rPr>
        <w:t>sin cumplirse el requisito para surtir la notificación electrónica en debida forma</w:t>
      </w:r>
      <w:r w:rsidRPr="00D47B4F">
        <w:rPr>
          <w:rFonts w:cs="Arial"/>
          <w:sz w:val="22"/>
          <w:szCs w:val="22"/>
        </w:rPr>
        <w:t>, es decir, para el presente caso</w:t>
      </w:r>
      <w:r w:rsidRPr="00D47B4F">
        <w:rPr>
          <w:rFonts w:cs="Arial"/>
          <w:b/>
          <w:sz w:val="22"/>
          <w:szCs w:val="22"/>
        </w:rPr>
        <w:t xml:space="preserve"> la aceptación unilateral por parte del destinatario de autorizar dicho medio de notificación</w:t>
      </w:r>
      <w:r w:rsidRPr="00D47B4F">
        <w:rPr>
          <w:rFonts w:cs="Arial"/>
          <w:sz w:val="22"/>
          <w:szCs w:val="22"/>
        </w:rPr>
        <w:t xml:space="preserve">, pues al respecto la normativa procedimental administrativa vigente -Ley 1437 de 2011- en su artículo 56 dispone que:  </w:t>
      </w:r>
    </w:p>
    <w:p w:rsidR="000B1B77" w:rsidRPr="00D47B4F" w:rsidRDefault="000B1B77" w:rsidP="000B1B77">
      <w:pPr>
        <w:jc w:val="both"/>
        <w:rPr>
          <w:rFonts w:cs="Arial"/>
          <w:sz w:val="22"/>
          <w:szCs w:val="22"/>
        </w:rPr>
      </w:pPr>
    </w:p>
    <w:p w:rsidR="000B1B77" w:rsidRPr="00D47B4F" w:rsidRDefault="000B1B77" w:rsidP="000B1B77">
      <w:pPr>
        <w:ind w:left="142" w:right="333"/>
        <w:jc w:val="both"/>
        <w:rPr>
          <w:rFonts w:cs="Arial"/>
          <w:i/>
          <w:iCs/>
          <w:sz w:val="20"/>
          <w:szCs w:val="20"/>
        </w:rPr>
      </w:pPr>
      <w:r w:rsidRPr="00D47B4F">
        <w:rPr>
          <w:rFonts w:cs="Arial"/>
          <w:i/>
          <w:iCs/>
          <w:sz w:val="20"/>
          <w:szCs w:val="20"/>
        </w:rPr>
        <w:t xml:space="preserve">(…) </w:t>
      </w:r>
      <w:r w:rsidRPr="00D47B4F">
        <w:rPr>
          <w:rFonts w:cs="Arial"/>
          <w:bCs/>
          <w:i/>
          <w:sz w:val="20"/>
          <w:szCs w:val="20"/>
        </w:rPr>
        <w:t>“</w:t>
      </w:r>
      <w:r w:rsidRPr="00D47B4F">
        <w:rPr>
          <w:rFonts w:cs="Arial"/>
          <w:b/>
          <w:bCs/>
          <w:i/>
          <w:iCs/>
          <w:sz w:val="20"/>
          <w:szCs w:val="20"/>
        </w:rPr>
        <w:t>ARTÍCULO</w:t>
      </w:r>
      <w:bookmarkStart w:id="2" w:name="56"/>
      <w:bookmarkEnd w:id="2"/>
      <w:r w:rsidRPr="00D47B4F">
        <w:rPr>
          <w:rFonts w:cs="Arial"/>
          <w:b/>
          <w:bCs/>
          <w:i/>
          <w:iCs/>
          <w:sz w:val="20"/>
          <w:szCs w:val="20"/>
        </w:rPr>
        <w:t> 56. Notificación electrónica.</w:t>
      </w:r>
      <w:r w:rsidRPr="00D47B4F">
        <w:rPr>
          <w:rFonts w:cs="Arial"/>
          <w:i/>
          <w:iCs/>
          <w:sz w:val="20"/>
          <w:szCs w:val="20"/>
        </w:rPr>
        <w:t xml:space="preserve"> Las autoridades podrán notificar sus actos a través de medios electrónicos, </w:t>
      </w:r>
      <w:r w:rsidRPr="00D47B4F">
        <w:rPr>
          <w:rFonts w:cs="Arial"/>
          <w:b/>
          <w:i/>
          <w:iCs/>
          <w:sz w:val="20"/>
          <w:szCs w:val="20"/>
          <w:u w:val="single"/>
        </w:rPr>
        <w:t>siempre que el administrado haya aceptado este medio de notificación</w:t>
      </w:r>
      <w:r w:rsidRPr="00D47B4F">
        <w:rPr>
          <w:rFonts w:cs="Arial"/>
          <w:i/>
          <w:iCs/>
          <w:sz w:val="20"/>
          <w:szCs w:val="20"/>
        </w:rPr>
        <w:t xml:space="preserve">. </w:t>
      </w:r>
    </w:p>
    <w:p w:rsidR="000B1B77" w:rsidRPr="00D47B4F" w:rsidRDefault="000B1B77" w:rsidP="000B1B77">
      <w:pPr>
        <w:ind w:left="142" w:right="333"/>
        <w:jc w:val="both"/>
        <w:rPr>
          <w:rFonts w:cs="Arial"/>
          <w:i/>
          <w:iCs/>
          <w:sz w:val="20"/>
          <w:szCs w:val="20"/>
        </w:rPr>
      </w:pPr>
      <w:r w:rsidRPr="00D47B4F">
        <w:rPr>
          <w:rFonts w:cs="Arial"/>
          <w:i/>
          <w:iCs/>
          <w:sz w:val="20"/>
          <w:szCs w:val="20"/>
        </w:rPr>
        <w:t> </w:t>
      </w:r>
    </w:p>
    <w:p w:rsidR="000B1B77" w:rsidRPr="00D47B4F" w:rsidRDefault="000B1B77" w:rsidP="000B1B77">
      <w:pPr>
        <w:ind w:left="142" w:right="333"/>
        <w:jc w:val="both"/>
        <w:rPr>
          <w:rFonts w:cs="Arial"/>
          <w:i/>
          <w:iCs/>
          <w:sz w:val="20"/>
          <w:szCs w:val="20"/>
        </w:rPr>
      </w:pPr>
      <w:r w:rsidRPr="00D47B4F">
        <w:rPr>
          <w:rFonts w:cs="Arial"/>
          <w:i/>
          <w:iCs/>
          <w:sz w:val="20"/>
          <w:szCs w:val="20"/>
        </w:rPr>
        <w:t xml:space="preserve">Sin embargo, durante el desarrollo de la actuación el interesado podrá solicitar a la autoridad que las notificaciones sucesivas no se realicen por medios electrónicos, </w:t>
      </w:r>
      <w:r w:rsidRPr="00D47B4F">
        <w:rPr>
          <w:rFonts w:cs="Arial"/>
          <w:b/>
          <w:i/>
          <w:iCs/>
          <w:sz w:val="20"/>
          <w:szCs w:val="20"/>
          <w:u w:val="single"/>
        </w:rPr>
        <w:t>sino de conformidad con los otros medios previstos en el Capítulo Quinto del presente Título</w:t>
      </w:r>
      <w:r w:rsidRPr="00D47B4F">
        <w:rPr>
          <w:rFonts w:cs="Arial"/>
          <w:i/>
          <w:iCs/>
          <w:sz w:val="20"/>
          <w:szCs w:val="20"/>
        </w:rPr>
        <w:t>, a menos que el uso de medios electrónicos sea obligatorio en los términos del inciso tercero del artículo 53A del presente título (…)”.</w:t>
      </w:r>
    </w:p>
    <w:p w:rsidR="000B1B77" w:rsidRPr="00D47B4F" w:rsidRDefault="000B1B77" w:rsidP="000B1B77">
      <w:pPr>
        <w:ind w:left="708"/>
        <w:jc w:val="both"/>
        <w:rPr>
          <w:rFonts w:cs="Arial"/>
          <w:i/>
          <w:sz w:val="20"/>
          <w:szCs w:val="20"/>
        </w:rPr>
      </w:pPr>
    </w:p>
    <w:p w:rsidR="000B1B77" w:rsidRPr="00D47B4F" w:rsidRDefault="000B1B77" w:rsidP="000B1B77">
      <w:pPr>
        <w:jc w:val="both"/>
        <w:rPr>
          <w:rFonts w:cs="Arial"/>
          <w:sz w:val="22"/>
          <w:szCs w:val="22"/>
        </w:rPr>
      </w:pPr>
      <w:r w:rsidRPr="00D47B4F">
        <w:rPr>
          <w:rFonts w:cs="Arial"/>
          <w:sz w:val="22"/>
          <w:szCs w:val="22"/>
        </w:rPr>
        <w:lastRenderedPageBreak/>
        <w:t xml:space="preserve">Así las cosas, se tiene que, de manera general, para que pueda surtirse una notificación de forma electrónica, </w:t>
      </w:r>
      <w:r w:rsidRPr="00D47B4F">
        <w:rPr>
          <w:rFonts w:cs="Arial"/>
          <w:b/>
          <w:bCs/>
          <w:sz w:val="22"/>
          <w:szCs w:val="22"/>
        </w:rPr>
        <w:t>es indispensable que a quien se va a notificar, haya autorizado previamente la notificación electrónica</w:t>
      </w:r>
      <w:r w:rsidRPr="00D47B4F">
        <w:rPr>
          <w:rFonts w:cs="Arial"/>
          <w:sz w:val="22"/>
          <w:szCs w:val="22"/>
        </w:rPr>
        <w:t xml:space="preserve">, especificando la dirección electrónica para tal efecto. Por lo cual no cabe duda que será </w:t>
      </w:r>
      <w:r w:rsidRPr="00D47B4F">
        <w:rPr>
          <w:rFonts w:cs="Arial"/>
          <w:b/>
          <w:bCs/>
          <w:sz w:val="22"/>
          <w:szCs w:val="22"/>
        </w:rPr>
        <w:t>necesario</w:t>
      </w:r>
      <w:r w:rsidRPr="00D47B4F">
        <w:rPr>
          <w:rFonts w:cs="Arial"/>
          <w:sz w:val="22"/>
          <w:szCs w:val="22"/>
        </w:rPr>
        <w:t xml:space="preserve"> que previamente </w:t>
      </w:r>
      <w:r w:rsidRPr="00D47B4F">
        <w:rPr>
          <w:rFonts w:cs="Arial"/>
          <w:b/>
          <w:bCs/>
          <w:sz w:val="22"/>
          <w:szCs w:val="22"/>
        </w:rPr>
        <w:t>el administrado</w:t>
      </w:r>
      <w:r w:rsidRPr="00D47B4F">
        <w:rPr>
          <w:rFonts w:cs="Arial"/>
          <w:sz w:val="22"/>
          <w:szCs w:val="22"/>
        </w:rPr>
        <w:t xml:space="preserve"> autorice recibir notificaciones electrónicamente e informe la dirección electrónica en la que desea ser notificado.</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D47B4F">
        <w:rPr>
          <w:rFonts w:cs="Arial"/>
          <w:b/>
          <w:bCs/>
          <w:sz w:val="22"/>
          <w:szCs w:val="22"/>
        </w:rPr>
        <w:t>la autoriza expresamente</w:t>
      </w:r>
      <w:r w:rsidRPr="00D47B4F">
        <w:rPr>
          <w:rFonts w:cs="Arial"/>
          <w:sz w:val="22"/>
          <w:szCs w:val="22"/>
        </w:rPr>
        <w:t xml:space="preserve">, lo cual no se evidencia en la foliatura del presente radicado. </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bookmarkStart w:id="3" w:name="_Hlk198805427"/>
      <w:r w:rsidRPr="00D47B4F">
        <w:rPr>
          <w:rFonts w:cs="Arial"/>
          <w:sz w:val="22"/>
          <w:szCs w:val="22"/>
        </w:rPr>
        <w:t xml:space="preserve">En consecuencia, de lo anterior, y </w:t>
      </w:r>
      <w:r w:rsidRPr="00D47B4F">
        <w:rPr>
          <w:rFonts w:cs="Arial"/>
          <w:i/>
          <w:iCs/>
          <w:sz w:val="22"/>
          <w:szCs w:val="22"/>
        </w:rPr>
        <w:t xml:space="preserve">sin mediar autorización expresa por parte de la investigada, </w:t>
      </w:r>
      <w:r w:rsidRPr="00D47B4F">
        <w:rPr>
          <w:rFonts w:cs="Arial"/>
          <w:sz w:val="22"/>
          <w:szCs w:val="22"/>
        </w:rPr>
        <w:t>la Subdirección de Vigilancia en Salud Púbica, tenía el deber de notificar a través del procedimiento común de notificación contenido en la Ley 1437 de 2011. Como a literal expresa:</w:t>
      </w:r>
    </w:p>
    <w:p w:rsidR="000B1B77" w:rsidRPr="00D47B4F" w:rsidRDefault="000B1B77" w:rsidP="000B1B77">
      <w:pPr>
        <w:jc w:val="both"/>
        <w:rPr>
          <w:rFonts w:cs="Arial"/>
          <w:sz w:val="22"/>
          <w:szCs w:val="22"/>
        </w:rPr>
      </w:pPr>
    </w:p>
    <w:p w:rsidR="000B1B77" w:rsidRPr="00974022" w:rsidRDefault="000B1B77" w:rsidP="000B1B77">
      <w:pPr>
        <w:ind w:left="426"/>
        <w:jc w:val="both"/>
        <w:rPr>
          <w:rFonts w:cs="Arial"/>
          <w:sz w:val="22"/>
          <w:szCs w:val="22"/>
        </w:rPr>
      </w:pPr>
      <w:r w:rsidRPr="00D47B4F">
        <w:rPr>
          <w:rFonts w:cs="Arial"/>
          <w:sz w:val="22"/>
          <w:szCs w:val="22"/>
        </w:rPr>
        <w:t>(…)</w:t>
      </w:r>
      <w:bookmarkStart w:id="4" w:name="66"/>
      <w:bookmarkEnd w:id="3"/>
      <w:r>
        <w:rPr>
          <w:rFonts w:cs="Arial"/>
          <w:sz w:val="22"/>
          <w:szCs w:val="22"/>
        </w:rPr>
        <w:t xml:space="preserve"> </w:t>
      </w:r>
      <w:r w:rsidRPr="00D47B4F">
        <w:rPr>
          <w:rFonts w:cs="Arial"/>
          <w:i/>
          <w:sz w:val="20"/>
          <w:szCs w:val="20"/>
        </w:rPr>
        <w:t>“</w:t>
      </w:r>
      <w:r w:rsidRPr="00D47B4F">
        <w:rPr>
          <w:rFonts w:cs="Arial"/>
          <w:b/>
          <w:bCs/>
          <w:i/>
          <w:iCs/>
          <w:sz w:val="20"/>
          <w:szCs w:val="20"/>
        </w:rPr>
        <w:t>ARTÍCULO 66. DEBER DE NOTIFICACIÓN DE LOS ACTOS ADMINISTRATIVOS DE CARÁCTER PARTICULAR Y CONCRETO.</w:t>
      </w:r>
      <w:bookmarkEnd w:id="4"/>
      <w:r w:rsidRPr="00D47B4F">
        <w:rPr>
          <w:rFonts w:cs="Arial"/>
          <w:i/>
          <w:iCs/>
          <w:sz w:val="20"/>
          <w:szCs w:val="20"/>
        </w:rPr>
        <w:t xml:space="preserve"> Los actos administrativos de carácter particular </w:t>
      </w:r>
      <w:r w:rsidRPr="00D47B4F">
        <w:rPr>
          <w:rFonts w:cs="Arial"/>
          <w:b/>
          <w:bCs/>
          <w:i/>
          <w:iCs/>
          <w:sz w:val="20"/>
          <w:szCs w:val="20"/>
          <w:u w:val="single"/>
        </w:rPr>
        <w:t>deberán</w:t>
      </w:r>
      <w:r w:rsidRPr="00D47B4F">
        <w:rPr>
          <w:rFonts w:cs="Arial"/>
          <w:i/>
          <w:iCs/>
          <w:sz w:val="20"/>
          <w:szCs w:val="20"/>
        </w:rPr>
        <w:t xml:space="preserve"> ser notificados en los términos establecidos en las disposiciones siguientes</w:t>
      </w:r>
      <w:r w:rsidRPr="00D47B4F">
        <w:rPr>
          <w:rFonts w:cs="Arial"/>
          <w:i/>
          <w:sz w:val="20"/>
          <w:szCs w:val="20"/>
        </w:rPr>
        <w:t>.”</w:t>
      </w:r>
    </w:p>
    <w:p w:rsidR="000B1B77" w:rsidRPr="00D47B4F" w:rsidRDefault="000B1B77" w:rsidP="000B1B77">
      <w:pPr>
        <w:ind w:left="284" w:right="333"/>
        <w:jc w:val="both"/>
        <w:rPr>
          <w:rFonts w:cs="Arial"/>
          <w:i/>
          <w:sz w:val="20"/>
          <w:szCs w:val="20"/>
        </w:rPr>
      </w:pPr>
    </w:p>
    <w:p w:rsidR="000B1B77" w:rsidRPr="00D47B4F" w:rsidRDefault="000B1B77" w:rsidP="000B1B77">
      <w:pPr>
        <w:jc w:val="both"/>
        <w:rPr>
          <w:rFonts w:cs="Arial"/>
          <w:sz w:val="22"/>
          <w:szCs w:val="22"/>
          <w:lang w:val="es-ES"/>
        </w:rPr>
      </w:pPr>
      <w:r w:rsidRPr="00D47B4F">
        <w:rPr>
          <w:rFonts w:cs="Arial"/>
          <w:sz w:val="22"/>
          <w:szCs w:val="22"/>
        </w:rPr>
        <w:t xml:space="preserve">Respecto de este artículo podemos evidenciar que es un </w:t>
      </w:r>
      <w:r w:rsidRPr="00D47B4F">
        <w:rPr>
          <w:rFonts w:cs="Arial"/>
          <w:sz w:val="22"/>
          <w:szCs w:val="22"/>
          <w:u w:val="single"/>
        </w:rPr>
        <w:t>deber</w:t>
      </w:r>
      <w:r w:rsidRPr="00D47B4F">
        <w:rPr>
          <w:rFonts w:cs="Arial"/>
          <w:sz w:val="22"/>
          <w:szCs w:val="22"/>
        </w:rPr>
        <w:t xml:space="preserve"> </w:t>
      </w:r>
      <w:r w:rsidRPr="00D47B4F">
        <w:rPr>
          <w:rFonts w:cs="Arial"/>
          <w:b/>
          <w:bCs/>
          <w:sz w:val="22"/>
          <w:szCs w:val="22"/>
        </w:rPr>
        <w:t xml:space="preserve">notificar personalmente </w:t>
      </w:r>
      <w:r w:rsidRPr="00D47B4F">
        <w:rPr>
          <w:rFonts w:cs="Arial"/>
          <w:sz w:val="22"/>
          <w:szCs w:val="22"/>
        </w:rPr>
        <w:t>los actos administrativos de carácter particular y concreto, siendo la apertura del proceso, el auto de pliego de cargos</w:t>
      </w:r>
      <w:r w:rsidRPr="00D47B4F">
        <w:rPr>
          <w:rFonts w:cs="Arial"/>
          <w:iCs/>
          <w:sz w:val="22"/>
          <w:szCs w:val="22"/>
        </w:rPr>
        <w:t xml:space="preserve"> y la resolución sancionatoria </w:t>
      </w:r>
      <w:r w:rsidRPr="00D47B4F">
        <w:rPr>
          <w:rFonts w:cs="Arial"/>
          <w:iCs/>
          <w:sz w:val="22"/>
          <w:szCs w:val="22"/>
          <w:lang w:val="es-ES"/>
        </w:rPr>
        <w:t xml:space="preserve">un </w:t>
      </w:r>
      <w:r w:rsidRPr="00D47B4F">
        <w:rPr>
          <w:rFonts w:cs="Arial"/>
          <w:sz w:val="22"/>
          <w:szCs w:val="22"/>
          <w:lang w:val="es-ES"/>
        </w:rPr>
        <w:t xml:space="preserve">acto de esta clase, </w:t>
      </w:r>
      <w:r w:rsidRPr="00D47B4F">
        <w:rPr>
          <w:rFonts w:cs="Arial"/>
          <w:i/>
          <w:iCs/>
          <w:sz w:val="22"/>
          <w:szCs w:val="22"/>
          <w:lang w:val="es-ES"/>
        </w:rPr>
        <w:t>máxime</w:t>
      </w:r>
      <w:r w:rsidRPr="00D47B4F">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rsidR="000B1B77" w:rsidRPr="00D47B4F" w:rsidRDefault="000B1B77" w:rsidP="000B1B77">
      <w:pPr>
        <w:jc w:val="both"/>
        <w:rPr>
          <w:rFonts w:cs="Arial"/>
          <w:sz w:val="22"/>
          <w:szCs w:val="22"/>
          <w:lang w:val="es-ES"/>
        </w:rPr>
      </w:pPr>
    </w:p>
    <w:p w:rsidR="000B1B77" w:rsidRPr="00D47B4F" w:rsidRDefault="000B1B77" w:rsidP="000B1B77">
      <w:pPr>
        <w:jc w:val="both"/>
        <w:rPr>
          <w:rFonts w:cs="Arial"/>
          <w:sz w:val="22"/>
          <w:szCs w:val="22"/>
        </w:rPr>
      </w:pPr>
      <w:r w:rsidRPr="00D47B4F">
        <w:rPr>
          <w:rFonts w:cs="Arial"/>
          <w:sz w:val="22"/>
          <w:szCs w:val="22"/>
        </w:rPr>
        <w:t xml:space="preserve">El artículo </w:t>
      </w:r>
      <w:r w:rsidRPr="00D47B4F">
        <w:rPr>
          <w:rFonts w:cs="Arial"/>
          <w:b/>
          <w:sz w:val="22"/>
          <w:szCs w:val="22"/>
        </w:rPr>
        <w:t>66 de la ley 1437 de 2011, establece la notificación</w:t>
      </w:r>
      <w:r w:rsidRPr="00D47B4F">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La Corte Constitucional mediante Sentencia C-012 de 2013 se ha referido al respecto de este tema, en los siguientes términos:</w:t>
      </w:r>
    </w:p>
    <w:p w:rsidR="000B1B77" w:rsidRPr="00D47B4F" w:rsidRDefault="000B1B77" w:rsidP="000B1B77">
      <w:pPr>
        <w:jc w:val="both"/>
        <w:rPr>
          <w:rFonts w:cs="Arial"/>
          <w:sz w:val="22"/>
          <w:szCs w:val="22"/>
        </w:rPr>
      </w:pPr>
    </w:p>
    <w:p w:rsidR="000B1B77" w:rsidRPr="00D47B4F" w:rsidRDefault="000B1B77" w:rsidP="000B1B77">
      <w:pPr>
        <w:ind w:left="284" w:right="333"/>
        <w:jc w:val="both"/>
        <w:rPr>
          <w:rFonts w:cs="Arial"/>
          <w:i/>
          <w:sz w:val="20"/>
          <w:szCs w:val="20"/>
        </w:rPr>
      </w:pPr>
      <w:r w:rsidRPr="00D47B4F">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D47B4F">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D47B4F">
        <w:rPr>
          <w:rFonts w:cs="Arial"/>
          <w:i/>
          <w:sz w:val="20"/>
          <w:szCs w:val="20"/>
        </w:rPr>
        <w:t xml:space="preserve"> (…)”.  </w:t>
      </w:r>
    </w:p>
    <w:p w:rsidR="000B1B77" w:rsidRPr="00D47B4F" w:rsidRDefault="000B1B77" w:rsidP="000B1B77">
      <w:pPr>
        <w:jc w:val="both"/>
        <w:rPr>
          <w:rFonts w:cs="Arial"/>
          <w:sz w:val="22"/>
          <w:szCs w:val="22"/>
          <w:lang w:val="es-ES"/>
        </w:rPr>
      </w:pPr>
    </w:p>
    <w:p w:rsidR="000B1B77" w:rsidRPr="00D47B4F" w:rsidRDefault="000B1B77" w:rsidP="000B1B77">
      <w:pPr>
        <w:jc w:val="both"/>
        <w:rPr>
          <w:rFonts w:cs="Arial"/>
          <w:sz w:val="22"/>
          <w:szCs w:val="22"/>
          <w:lang w:val="es-ES"/>
        </w:rPr>
      </w:pPr>
      <w:r w:rsidRPr="00D47B4F">
        <w:rPr>
          <w:rFonts w:cs="Arial"/>
          <w:sz w:val="22"/>
          <w:szCs w:val="22"/>
          <w:lang w:val="es-ES"/>
        </w:rPr>
        <w:t>Ahora bien, la misma normativa procedimental administrativa también es clara al precisar sobre la notificación personal de las decisiones administrativas:</w:t>
      </w:r>
    </w:p>
    <w:p w:rsidR="000B1B77" w:rsidRPr="00D47B4F" w:rsidRDefault="000B1B77" w:rsidP="000B1B77">
      <w:pPr>
        <w:jc w:val="both"/>
        <w:rPr>
          <w:rFonts w:cs="Arial"/>
          <w:sz w:val="22"/>
          <w:szCs w:val="22"/>
          <w:lang w:val="es-ES"/>
        </w:rPr>
      </w:pPr>
    </w:p>
    <w:p w:rsidR="000B1B77" w:rsidRPr="00D47B4F" w:rsidRDefault="000B1B77" w:rsidP="000B1B77">
      <w:pPr>
        <w:jc w:val="both"/>
        <w:rPr>
          <w:rFonts w:cs="Arial"/>
          <w:sz w:val="22"/>
          <w:szCs w:val="22"/>
        </w:rPr>
      </w:pPr>
      <w:r w:rsidRPr="00D47B4F">
        <w:rPr>
          <w:rFonts w:cs="Arial"/>
          <w:sz w:val="22"/>
          <w:szCs w:val="22"/>
        </w:rPr>
        <w:t>(…)</w:t>
      </w:r>
    </w:p>
    <w:p w:rsidR="000B1B77" w:rsidRPr="00D47B4F" w:rsidRDefault="000B1B77" w:rsidP="000B1B77">
      <w:pPr>
        <w:jc w:val="both"/>
        <w:rPr>
          <w:rFonts w:cs="Arial"/>
          <w:iCs/>
          <w:sz w:val="22"/>
          <w:szCs w:val="22"/>
          <w:lang w:val="es-ES"/>
        </w:rPr>
      </w:pPr>
    </w:p>
    <w:p w:rsidR="000B1B77" w:rsidRPr="00D47B4F" w:rsidRDefault="000B1B77" w:rsidP="000B1B77">
      <w:pPr>
        <w:ind w:left="284" w:right="333"/>
        <w:jc w:val="both"/>
        <w:rPr>
          <w:rFonts w:cs="Arial"/>
          <w:i/>
          <w:iCs/>
          <w:sz w:val="20"/>
          <w:szCs w:val="20"/>
        </w:rPr>
      </w:pPr>
      <w:bookmarkStart w:id="5" w:name="67"/>
      <w:r w:rsidRPr="00D47B4F">
        <w:rPr>
          <w:rFonts w:cs="Arial"/>
          <w:bCs/>
          <w:i/>
          <w:iCs/>
          <w:sz w:val="20"/>
          <w:szCs w:val="20"/>
        </w:rPr>
        <w:t>“</w:t>
      </w:r>
      <w:r w:rsidRPr="00D47B4F">
        <w:rPr>
          <w:rFonts w:cs="Arial"/>
          <w:b/>
          <w:bCs/>
          <w:i/>
          <w:iCs/>
          <w:sz w:val="20"/>
          <w:szCs w:val="20"/>
        </w:rPr>
        <w:t>ARTÍCULO 67</w:t>
      </w:r>
      <w:r w:rsidRPr="00D47B4F">
        <w:rPr>
          <w:rFonts w:cs="Arial"/>
          <w:i/>
          <w:iCs/>
          <w:sz w:val="20"/>
          <w:szCs w:val="20"/>
        </w:rPr>
        <w:t>.</w:t>
      </w:r>
      <w:r w:rsidRPr="00D47B4F">
        <w:rPr>
          <w:rFonts w:cs="Arial"/>
          <w:b/>
          <w:bCs/>
          <w:i/>
          <w:iCs/>
          <w:sz w:val="20"/>
          <w:szCs w:val="20"/>
        </w:rPr>
        <w:t xml:space="preserve"> NOTIFICACIÓN PERSONAL.</w:t>
      </w:r>
      <w:bookmarkEnd w:id="5"/>
      <w:r w:rsidRPr="00D47B4F">
        <w:rPr>
          <w:rFonts w:cs="Arial"/>
          <w:i/>
          <w:iCs/>
          <w:sz w:val="20"/>
          <w:szCs w:val="20"/>
        </w:rPr>
        <w:t> </w:t>
      </w:r>
      <w:r w:rsidRPr="00D47B4F">
        <w:rPr>
          <w:rFonts w:cs="Arial"/>
          <w:b/>
          <w:bCs/>
          <w:i/>
          <w:iCs/>
          <w:sz w:val="20"/>
          <w:szCs w:val="20"/>
          <w:u w:val="single"/>
        </w:rPr>
        <w:t>Las decisiones que pongan término a una actuación administrativa se notificarán personalmente al interesado</w:t>
      </w:r>
      <w:r w:rsidRPr="00D47B4F">
        <w:rPr>
          <w:rFonts w:cs="Arial"/>
          <w:i/>
          <w:iCs/>
          <w:sz w:val="20"/>
          <w:szCs w:val="20"/>
        </w:rPr>
        <w:t xml:space="preserve">, a su representante o apoderado, o a la persona debidamente autorizada por el interesado para notificarse”. </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Así es que, ya habiendo revisado la norma, la doctrina y la jurisprudencia, podemos tener un grado de certeza frente a que la notificación de la apertura del procedimiento administrativo sancionatorio debía notificarse de manera personal a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esto era, por el debido procedimiento ya indicado dispuesto en los artículos 67 y siguientes de la Ley 1437 de 2011.    </w:t>
      </w:r>
    </w:p>
    <w:p w:rsidR="000B1B77" w:rsidRPr="00D47B4F" w:rsidRDefault="000B1B77" w:rsidP="000B1B77">
      <w:pPr>
        <w:jc w:val="both"/>
        <w:rPr>
          <w:rFonts w:cs="Arial"/>
          <w:sz w:val="22"/>
          <w:szCs w:val="22"/>
        </w:rPr>
      </w:pPr>
      <w:r w:rsidRPr="00D47B4F">
        <w:rPr>
          <w:rFonts w:cs="Arial"/>
          <w:sz w:val="22"/>
          <w:szCs w:val="22"/>
        </w:rPr>
        <w:t xml:space="preserve"> </w:t>
      </w:r>
    </w:p>
    <w:p w:rsidR="000B1B77" w:rsidRPr="00D47B4F" w:rsidRDefault="000B1B77" w:rsidP="000B1B77">
      <w:pPr>
        <w:jc w:val="both"/>
        <w:rPr>
          <w:rFonts w:cs="Arial"/>
          <w:sz w:val="22"/>
          <w:szCs w:val="22"/>
        </w:rPr>
      </w:pPr>
      <w:r w:rsidRPr="00D47B4F">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D47B4F">
        <w:rPr>
          <w:rFonts w:cs="Arial"/>
          <w:b/>
          <w:sz w:val="22"/>
          <w:szCs w:val="22"/>
        </w:rPr>
        <w:t>notificación</w:t>
      </w:r>
      <w:r w:rsidRPr="00D47B4F">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Cuando se habla del debido proceso en el contexto de las actuaciones administrativas, como un derecho fundamental encaminado a la garantía de una </w:t>
      </w:r>
      <w:r w:rsidRPr="00D47B4F">
        <w:rPr>
          <w:rFonts w:cs="Arial"/>
          <w:i/>
          <w:sz w:val="22"/>
          <w:szCs w:val="22"/>
        </w:rPr>
        <w:t>“doble categoría de principios rectores”</w:t>
      </w:r>
      <w:r w:rsidRPr="00D47B4F">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D47B4F">
        <w:rPr>
          <w:rFonts w:cs="Arial"/>
          <w:b/>
          <w:bCs/>
          <w:sz w:val="22"/>
          <w:szCs w:val="22"/>
        </w:rPr>
        <w:t>la defensa</w:t>
      </w:r>
      <w:r w:rsidRPr="00D47B4F">
        <w:rPr>
          <w:rFonts w:cs="Arial"/>
          <w:sz w:val="22"/>
          <w:szCs w:val="22"/>
        </w:rPr>
        <w:t xml:space="preserve">, </w:t>
      </w:r>
      <w:r w:rsidRPr="00D47B4F">
        <w:rPr>
          <w:rFonts w:cs="Arial"/>
          <w:b/>
          <w:bCs/>
          <w:sz w:val="22"/>
          <w:szCs w:val="22"/>
        </w:rPr>
        <w:t>contradicció</w:t>
      </w:r>
      <w:r w:rsidRPr="00D47B4F">
        <w:rPr>
          <w:rFonts w:cs="Arial"/>
          <w:b/>
          <w:sz w:val="22"/>
          <w:szCs w:val="22"/>
        </w:rPr>
        <w:t>n</w:t>
      </w:r>
      <w:r w:rsidRPr="00D47B4F">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D47B4F">
        <w:rPr>
          <w:rFonts w:cs="Arial"/>
          <w:b/>
          <w:sz w:val="22"/>
          <w:szCs w:val="22"/>
          <w:u w:val="single"/>
        </w:rPr>
        <w:t>publicidad</w:t>
      </w:r>
      <w:r w:rsidRPr="00D47B4F">
        <w:rPr>
          <w:rFonts w:cs="Arial"/>
          <w:sz w:val="22"/>
          <w:szCs w:val="22"/>
        </w:rPr>
        <w:t>.</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b/>
          <w:sz w:val="22"/>
          <w:szCs w:val="22"/>
        </w:rPr>
        <w:t>El principio de publicidad</w:t>
      </w:r>
      <w:r w:rsidRPr="00D47B4F">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D47B4F">
        <w:rPr>
          <w:rFonts w:cs="Arial"/>
          <w:i/>
          <w:sz w:val="22"/>
          <w:szCs w:val="22"/>
        </w:rPr>
        <w:t>“</w:t>
      </w:r>
      <w:r w:rsidRPr="00D47B4F">
        <w:rPr>
          <w:rFonts w:cs="Arial"/>
          <w:b/>
          <w:bCs/>
          <w:i/>
          <w:sz w:val="22"/>
          <w:szCs w:val="22"/>
        </w:rPr>
        <w:t>la manifestación unilateral de la administración, tendiente a crear, modificar, o extinguir situaciones jurídicas</w:t>
      </w:r>
      <w:r w:rsidRPr="00D47B4F">
        <w:rPr>
          <w:rFonts w:cs="Arial"/>
          <w:i/>
          <w:sz w:val="22"/>
          <w:szCs w:val="22"/>
        </w:rPr>
        <w:t>”</w:t>
      </w:r>
      <w:r w:rsidRPr="00D47B4F">
        <w:rPr>
          <w:rFonts w:cs="Arial"/>
          <w:sz w:val="22"/>
          <w:szCs w:val="22"/>
        </w:rPr>
        <w:t xml:space="preserve"> como lo es el hecho de imponer una sanción atendiendo al interés general y en cumplimiento de los fines esenciales del Estado.</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Por su parte, para el Tratadista colombiano Jaime Orlando Santofimio Gamboa, un acto administrativo </w:t>
      </w:r>
      <w:r w:rsidRPr="00D47B4F">
        <w:rPr>
          <w:rFonts w:cs="Arial"/>
          <w:i/>
          <w:sz w:val="22"/>
          <w:szCs w:val="22"/>
        </w:rPr>
        <w:t xml:space="preserve">“es la principal manifestación de las autoridades administrativas y </w:t>
      </w:r>
      <w:r w:rsidRPr="00D47B4F">
        <w:rPr>
          <w:rFonts w:cs="Arial"/>
          <w:b/>
          <w:i/>
          <w:sz w:val="22"/>
          <w:szCs w:val="22"/>
          <w:u w:val="single"/>
        </w:rPr>
        <w:t>es toda manifestación unilateral de voluntad por parte de quienes ejercen funciones administrativas</w:t>
      </w:r>
      <w:r w:rsidRPr="00D47B4F">
        <w:rPr>
          <w:rFonts w:cs="Arial"/>
          <w:i/>
          <w:sz w:val="22"/>
          <w:szCs w:val="22"/>
        </w:rPr>
        <w:t xml:space="preserve">, sean órganos públicos del </w:t>
      </w:r>
      <w:r w:rsidRPr="00D47B4F">
        <w:rPr>
          <w:rFonts w:cs="Arial"/>
          <w:i/>
          <w:sz w:val="22"/>
          <w:szCs w:val="22"/>
        </w:rPr>
        <w:lastRenderedPageBreak/>
        <w:t xml:space="preserve">Estado o simples particulares, </w:t>
      </w:r>
      <w:r w:rsidRPr="00D47B4F">
        <w:rPr>
          <w:rFonts w:cs="Arial"/>
          <w:b/>
          <w:i/>
          <w:sz w:val="22"/>
          <w:szCs w:val="22"/>
          <w:u w:val="single"/>
        </w:rPr>
        <w:t>tendientes a la producción de efectos jurídicos</w:t>
      </w:r>
      <w:r w:rsidRPr="00D47B4F">
        <w:rPr>
          <w:rFonts w:cs="Arial"/>
          <w:i/>
          <w:sz w:val="22"/>
          <w:szCs w:val="22"/>
        </w:rPr>
        <w:t>. Se caracteriza este concepto, por ser, no solo de naturaleza voluntaria sino también decisoria. Es decir, con la capacidad suficiente de alterar el mundo jurídico. Si la manifestación de la voluntad no decide, no es un acto administrativo”</w:t>
      </w:r>
      <w:r w:rsidRPr="00D47B4F">
        <w:rPr>
          <w:rFonts w:cs="Arial"/>
          <w:sz w:val="22"/>
          <w:szCs w:val="22"/>
        </w:rPr>
        <w:t xml:space="preserve">. </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D47B4F">
        <w:rPr>
          <w:rFonts w:cs="Arial"/>
          <w:b/>
          <w:sz w:val="22"/>
          <w:szCs w:val="22"/>
          <w:u w:val="single"/>
        </w:rPr>
        <w:t>principio de publicidad de la función administrativa</w:t>
      </w:r>
      <w:r w:rsidRPr="00D47B4F">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rsidR="000B1B77" w:rsidRPr="00D47B4F" w:rsidRDefault="000B1B77" w:rsidP="000B1B77">
      <w:pPr>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D47B4F">
        <w:rPr>
          <w:rFonts w:cs="Arial"/>
          <w:b/>
          <w:sz w:val="22"/>
          <w:szCs w:val="22"/>
          <w:u w:val="single"/>
        </w:rPr>
        <w:t>verificar el acatamiento de los actos procesales al debido proceso</w:t>
      </w:r>
      <w:r w:rsidRPr="00D47B4F">
        <w:rPr>
          <w:rFonts w:cs="Arial"/>
          <w:sz w:val="22"/>
          <w:szCs w:val="22"/>
        </w:rPr>
        <w:t xml:space="preserve">, principio fundamental de raigambre constitucional. </w:t>
      </w:r>
    </w:p>
    <w:p w:rsidR="000B1B77" w:rsidRPr="00D47B4F" w:rsidRDefault="000B1B77" w:rsidP="000B1B77">
      <w:pPr>
        <w:jc w:val="both"/>
        <w:rPr>
          <w:rFonts w:cs="Arial"/>
          <w:sz w:val="22"/>
          <w:szCs w:val="22"/>
        </w:rPr>
      </w:pPr>
    </w:p>
    <w:p w:rsidR="000B1B77" w:rsidRPr="00D47B4F" w:rsidRDefault="000B1B77" w:rsidP="000B1B77">
      <w:pPr>
        <w:jc w:val="both"/>
        <w:rPr>
          <w:rFonts w:cs="Arial"/>
          <w:i/>
          <w:sz w:val="22"/>
          <w:szCs w:val="22"/>
        </w:rPr>
      </w:pPr>
      <w:r w:rsidRPr="00D47B4F">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D47B4F">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rsidR="000B1B77" w:rsidRPr="00D47B4F" w:rsidRDefault="000B1B77" w:rsidP="000B1B77">
      <w:pPr>
        <w:jc w:val="both"/>
        <w:rPr>
          <w:rFonts w:cs="Arial"/>
          <w:i/>
          <w:sz w:val="22"/>
          <w:szCs w:val="22"/>
        </w:rPr>
      </w:pPr>
    </w:p>
    <w:p w:rsidR="000B1B77" w:rsidRPr="00D47B4F" w:rsidRDefault="000B1B77" w:rsidP="000B1B77">
      <w:pPr>
        <w:jc w:val="both"/>
        <w:rPr>
          <w:rFonts w:cs="Arial"/>
          <w:sz w:val="22"/>
          <w:szCs w:val="22"/>
        </w:rPr>
      </w:pPr>
      <w:r w:rsidRPr="00D47B4F">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rsidR="000B1B77" w:rsidRPr="00D47B4F" w:rsidRDefault="000B1B77" w:rsidP="000B1B77">
      <w:pPr>
        <w:jc w:val="both"/>
        <w:rPr>
          <w:rFonts w:cs="Arial"/>
          <w:sz w:val="22"/>
          <w:szCs w:val="22"/>
        </w:rPr>
      </w:pPr>
    </w:p>
    <w:p w:rsidR="000B1B77" w:rsidRPr="00D47B4F" w:rsidRDefault="000B1B77" w:rsidP="000B1B77">
      <w:pPr>
        <w:ind w:left="284"/>
        <w:jc w:val="both"/>
        <w:rPr>
          <w:rFonts w:cs="Arial"/>
          <w:i/>
          <w:iCs/>
          <w:sz w:val="22"/>
          <w:szCs w:val="22"/>
        </w:rPr>
      </w:pPr>
      <w:r w:rsidRPr="00D47B4F">
        <w:rPr>
          <w:rFonts w:cs="Arial"/>
          <w:sz w:val="22"/>
          <w:szCs w:val="22"/>
        </w:rPr>
        <w:t xml:space="preserve">“… </w:t>
      </w:r>
      <w:r w:rsidRPr="00D47B4F">
        <w:rPr>
          <w:rFonts w:cs="Arial"/>
          <w:i/>
          <w:iCs/>
          <w:sz w:val="22"/>
          <w:szCs w:val="22"/>
        </w:rPr>
        <w:t>-. Cuando sea manifiesta su oposición a la Constitución Política o la Ley…” (…).</w:t>
      </w:r>
    </w:p>
    <w:p w:rsidR="000B1B77" w:rsidRPr="00D47B4F" w:rsidRDefault="000B1B77" w:rsidP="000B1B77">
      <w:pPr>
        <w:ind w:left="284"/>
        <w:jc w:val="both"/>
        <w:rPr>
          <w:rFonts w:cs="Arial"/>
          <w:sz w:val="22"/>
          <w:szCs w:val="22"/>
        </w:rPr>
      </w:pPr>
    </w:p>
    <w:p w:rsidR="000B1B77" w:rsidRPr="00D47B4F" w:rsidRDefault="000B1B77" w:rsidP="000B1B77">
      <w:pPr>
        <w:jc w:val="both"/>
        <w:rPr>
          <w:rFonts w:cs="Arial"/>
          <w:sz w:val="22"/>
          <w:szCs w:val="22"/>
        </w:rPr>
      </w:pPr>
      <w:r w:rsidRPr="00D47B4F">
        <w:rPr>
          <w:rFonts w:cs="Arial"/>
          <w:sz w:val="22"/>
          <w:szCs w:val="22"/>
        </w:rPr>
        <w:t xml:space="preserve">Conforme se desprende del análisis efectuado para el caso en particular, se ordenará la revocatoria de la Resolución No. </w:t>
      </w:r>
      <w:r>
        <w:rPr>
          <w:rFonts w:cs="Arial"/>
          <w:iCs/>
          <w:sz w:val="22"/>
          <w:szCs w:val="22"/>
        </w:rPr>
        <w:t>10709 del 22 de agosto de 2022</w:t>
      </w:r>
      <w:r w:rsidRPr="00D47B4F">
        <w:rPr>
          <w:rFonts w:cs="Arial"/>
          <w:sz w:val="22"/>
          <w:szCs w:val="22"/>
        </w:rPr>
        <w:t xml:space="preserve">, mediante la cual la Subdirección de Vigilancia en Salud Pública de la Secretaría Distrital de Salud – SDS decidió imponer sanción a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w:t>
      </w:r>
    </w:p>
    <w:p w:rsidR="000B1B77" w:rsidRPr="00D47B4F" w:rsidRDefault="000B1B77" w:rsidP="000B1B77">
      <w:pPr>
        <w:spacing w:after="236"/>
        <w:jc w:val="both"/>
        <w:rPr>
          <w:rFonts w:cs="Arial"/>
          <w:sz w:val="22"/>
          <w:szCs w:val="22"/>
        </w:rPr>
      </w:pPr>
      <w:r w:rsidRPr="00D47B4F">
        <w:rPr>
          <w:rFonts w:cs="Arial"/>
          <w:sz w:val="22"/>
          <w:szCs w:val="22"/>
        </w:rPr>
        <w:lastRenderedPageBreak/>
        <w:t xml:space="preserve">En mérito de Io expuesto, este Despacho,   </w:t>
      </w:r>
    </w:p>
    <w:p w:rsidR="000B1B77" w:rsidRPr="00D47B4F" w:rsidRDefault="000B1B77" w:rsidP="000B1B77">
      <w:pPr>
        <w:jc w:val="center"/>
        <w:rPr>
          <w:rFonts w:cs="Arial"/>
          <w:b/>
          <w:bCs/>
          <w:sz w:val="22"/>
          <w:szCs w:val="22"/>
        </w:rPr>
      </w:pPr>
      <w:r w:rsidRPr="00D47B4F">
        <w:rPr>
          <w:rFonts w:cs="Arial"/>
          <w:b/>
          <w:bCs/>
          <w:sz w:val="22"/>
          <w:szCs w:val="22"/>
        </w:rPr>
        <w:t>RESUELVE:</w:t>
      </w:r>
    </w:p>
    <w:p w:rsidR="000B1B77" w:rsidRPr="00D47B4F" w:rsidRDefault="000B1B77" w:rsidP="000B1B77">
      <w:pPr>
        <w:ind w:right="240"/>
        <w:jc w:val="both"/>
        <w:rPr>
          <w:rFonts w:cs="Arial"/>
          <w:b/>
          <w:bCs/>
          <w:sz w:val="22"/>
          <w:szCs w:val="22"/>
        </w:rPr>
      </w:pPr>
    </w:p>
    <w:p w:rsidR="000B1B77" w:rsidRPr="00D47B4F" w:rsidRDefault="000B1B77" w:rsidP="000B1B77">
      <w:pPr>
        <w:widowControl w:val="0"/>
        <w:jc w:val="both"/>
        <w:rPr>
          <w:rFonts w:cs="Arial"/>
          <w:sz w:val="22"/>
          <w:szCs w:val="22"/>
        </w:rPr>
      </w:pPr>
      <w:r w:rsidRPr="00D47B4F">
        <w:rPr>
          <w:rFonts w:cs="Arial"/>
          <w:b/>
          <w:bCs/>
          <w:sz w:val="22"/>
          <w:szCs w:val="22"/>
        </w:rPr>
        <w:t>ARTÍCULO PRIMERO: REVOCAR</w:t>
      </w:r>
      <w:r w:rsidRPr="00D47B4F">
        <w:rPr>
          <w:rFonts w:cs="Arial"/>
          <w:sz w:val="22"/>
          <w:szCs w:val="22"/>
        </w:rPr>
        <w:t xml:space="preserve"> </w:t>
      </w:r>
      <w:r w:rsidRPr="00D47B4F">
        <w:rPr>
          <w:rFonts w:cs="Arial"/>
          <w:bCs/>
          <w:sz w:val="22"/>
          <w:szCs w:val="22"/>
        </w:rPr>
        <w:t>íntegramente</w:t>
      </w:r>
      <w:r w:rsidRPr="00D47B4F">
        <w:rPr>
          <w:rFonts w:cs="Arial"/>
          <w:b/>
          <w:sz w:val="22"/>
          <w:szCs w:val="22"/>
        </w:rPr>
        <w:t xml:space="preserve"> </w:t>
      </w:r>
      <w:r w:rsidRPr="00D47B4F">
        <w:rPr>
          <w:rFonts w:cs="Arial"/>
          <w:sz w:val="22"/>
          <w:szCs w:val="22"/>
        </w:rPr>
        <w:t xml:space="preserve">la Resolución No. </w:t>
      </w:r>
      <w:r>
        <w:rPr>
          <w:rFonts w:cs="Arial"/>
          <w:iCs/>
          <w:sz w:val="22"/>
          <w:szCs w:val="22"/>
        </w:rPr>
        <w:t xml:space="preserve">10709 del 22 de agosto de 2022 </w:t>
      </w:r>
      <w:r w:rsidRPr="00D47B4F">
        <w:rPr>
          <w:rFonts w:cs="Arial"/>
          <w:sz w:val="22"/>
          <w:szCs w:val="22"/>
        </w:rPr>
        <w:t xml:space="preserve">, emitida por la Subdirección de Vigilancia en Salud Pública de la Secretaría Distrital de Salud – SDS, que impuso sanción consistente en multa de </w:t>
      </w:r>
      <w:r>
        <w:rPr>
          <w:rFonts w:cs="Arial"/>
          <w:sz w:val="22"/>
          <w:szCs w:val="22"/>
        </w:rPr>
        <w:t>treinta (30) salarios mínimos legales diarios vigentes</w:t>
      </w:r>
      <w:r w:rsidRPr="00D47B4F">
        <w:rPr>
          <w:rFonts w:cs="Arial"/>
          <w:sz w:val="22"/>
          <w:szCs w:val="22"/>
        </w:rPr>
        <w:t xml:space="preserve">, equivalente a la suma de UN MILLÓN </w:t>
      </w:r>
      <w:r>
        <w:rPr>
          <w:rFonts w:cs="Arial"/>
          <w:sz w:val="22"/>
          <w:szCs w:val="22"/>
        </w:rPr>
        <w:t>DE</w:t>
      </w:r>
      <w:r w:rsidRPr="00D47B4F">
        <w:rPr>
          <w:rFonts w:cs="Arial"/>
          <w:sz w:val="22"/>
          <w:szCs w:val="22"/>
        </w:rPr>
        <w:t xml:space="preserve"> PESOS M/CTE ($</w:t>
      </w:r>
      <w:r>
        <w:rPr>
          <w:rFonts w:cs="Arial"/>
          <w:sz w:val="22"/>
          <w:szCs w:val="22"/>
        </w:rPr>
        <w:t>1.000.000</w:t>
      </w:r>
      <w:r w:rsidRPr="00D47B4F">
        <w:rPr>
          <w:rFonts w:cs="Arial"/>
          <w:sz w:val="22"/>
          <w:szCs w:val="22"/>
        </w:rPr>
        <w:t xml:space="preserve">) a la señora </w:t>
      </w:r>
      <w:r>
        <w:rPr>
          <w:rFonts w:cs="Arial"/>
          <w:sz w:val="22"/>
          <w:szCs w:val="22"/>
        </w:rPr>
        <w:t>LEYDI ROJAS ZAPATA</w:t>
      </w:r>
      <w:r w:rsidRPr="00D47B4F">
        <w:rPr>
          <w:rFonts w:cs="Arial"/>
          <w:sz w:val="22"/>
          <w:szCs w:val="22"/>
        </w:rPr>
        <w:t xml:space="preserve">, identificada con cedula de ciudadanía No. </w:t>
      </w:r>
      <w:r>
        <w:rPr>
          <w:rFonts w:cs="Arial"/>
          <w:sz w:val="22"/>
          <w:szCs w:val="22"/>
        </w:rPr>
        <w:t>36.088.991</w:t>
      </w:r>
      <w:r w:rsidRPr="00D47B4F">
        <w:rPr>
          <w:rFonts w:cs="Arial"/>
          <w:sz w:val="22"/>
          <w:szCs w:val="22"/>
        </w:rPr>
        <w:t xml:space="preserve"> en calidad de propietaria y/o responsable del establecimiento denominado </w:t>
      </w:r>
      <w:r>
        <w:rPr>
          <w:rFonts w:cs="Arial"/>
          <w:sz w:val="22"/>
          <w:szCs w:val="22"/>
        </w:rPr>
        <w:t>STYLOS LEYDI</w:t>
      </w:r>
      <w:r w:rsidRPr="00D47B4F">
        <w:rPr>
          <w:rFonts w:cs="Arial"/>
          <w:sz w:val="22"/>
          <w:szCs w:val="22"/>
        </w:rPr>
        <w:t xml:space="preserve">, de conformidad con lo expuesto en la parte motiva de este proveído.       </w:t>
      </w:r>
    </w:p>
    <w:p w:rsidR="000B1B77" w:rsidRPr="00D47B4F" w:rsidRDefault="000B1B77" w:rsidP="000B1B77">
      <w:pPr>
        <w:ind w:right="240"/>
        <w:jc w:val="both"/>
        <w:rPr>
          <w:rFonts w:cs="Arial"/>
          <w:sz w:val="22"/>
          <w:szCs w:val="22"/>
        </w:rPr>
      </w:pPr>
    </w:p>
    <w:p w:rsidR="000B1B77" w:rsidRPr="00D47B4F" w:rsidRDefault="000B1B77" w:rsidP="000B1B77">
      <w:pPr>
        <w:ind w:left="20" w:right="20"/>
        <w:jc w:val="both"/>
        <w:rPr>
          <w:rFonts w:cs="Arial"/>
          <w:sz w:val="22"/>
          <w:szCs w:val="22"/>
        </w:rPr>
      </w:pPr>
      <w:r w:rsidRPr="00D47B4F">
        <w:rPr>
          <w:rFonts w:cs="Arial"/>
          <w:b/>
          <w:bCs/>
          <w:sz w:val="22"/>
          <w:szCs w:val="22"/>
        </w:rPr>
        <w:t>ARTÍCULO SEGUNDO:</w:t>
      </w:r>
      <w:r w:rsidRPr="00D47B4F">
        <w:rPr>
          <w:rFonts w:cs="Arial"/>
          <w:sz w:val="22"/>
          <w:szCs w:val="22"/>
        </w:rPr>
        <w:t xml:space="preserve"> </w:t>
      </w:r>
      <w:r w:rsidRPr="00D47B4F">
        <w:rPr>
          <w:rFonts w:cs="Arial"/>
          <w:b/>
          <w:bCs/>
          <w:sz w:val="22"/>
          <w:szCs w:val="22"/>
        </w:rPr>
        <w:t>NOTIFICAR</w:t>
      </w:r>
      <w:r w:rsidRPr="00D47B4F">
        <w:rPr>
          <w:rFonts w:cs="Arial"/>
          <w:sz w:val="22"/>
          <w:szCs w:val="22"/>
        </w:rPr>
        <w:t xml:space="preserve"> del contenido de esta resolución a la parte investigada, haciéndoles saber que contra la presente decisión no procede recurso alguno. </w:t>
      </w:r>
    </w:p>
    <w:p w:rsidR="000B1B77" w:rsidRPr="00D47B4F" w:rsidRDefault="000B1B77" w:rsidP="000B1B77">
      <w:pPr>
        <w:ind w:left="20" w:right="20"/>
        <w:jc w:val="both"/>
        <w:rPr>
          <w:rFonts w:cs="Arial"/>
          <w:sz w:val="22"/>
          <w:szCs w:val="22"/>
        </w:rPr>
      </w:pPr>
    </w:p>
    <w:p w:rsidR="000B1B77" w:rsidRPr="00D47B4F" w:rsidRDefault="000B1B77" w:rsidP="000B1B77">
      <w:pPr>
        <w:ind w:left="20" w:right="20"/>
        <w:jc w:val="both"/>
        <w:rPr>
          <w:rFonts w:cs="Arial"/>
          <w:sz w:val="22"/>
          <w:szCs w:val="22"/>
        </w:rPr>
      </w:pPr>
      <w:r w:rsidRPr="00D47B4F">
        <w:rPr>
          <w:rFonts w:cs="Arial"/>
          <w:b/>
          <w:bCs/>
          <w:sz w:val="22"/>
          <w:szCs w:val="22"/>
        </w:rPr>
        <w:t>PARÁGRAFO:</w:t>
      </w:r>
      <w:r w:rsidRPr="00D47B4F">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rsidR="000B1B77" w:rsidRPr="00D47B4F" w:rsidRDefault="000B1B77" w:rsidP="000B1B77">
      <w:pPr>
        <w:ind w:left="20" w:right="20"/>
        <w:jc w:val="both"/>
        <w:rPr>
          <w:rFonts w:cs="Arial"/>
          <w:sz w:val="22"/>
          <w:szCs w:val="22"/>
        </w:rPr>
      </w:pPr>
    </w:p>
    <w:p w:rsidR="000B1B77" w:rsidRPr="00D47B4F" w:rsidRDefault="000B1B77" w:rsidP="000B1B77">
      <w:pPr>
        <w:ind w:left="20" w:right="20"/>
        <w:jc w:val="both"/>
        <w:rPr>
          <w:rFonts w:cs="Arial"/>
          <w:sz w:val="22"/>
          <w:szCs w:val="22"/>
        </w:rPr>
      </w:pPr>
      <w:r w:rsidRPr="00D47B4F">
        <w:rPr>
          <w:rFonts w:cs="Arial"/>
          <w:b/>
          <w:bCs/>
          <w:sz w:val="22"/>
          <w:szCs w:val="22"/>
        </w:rPr>
        <w:t>ARTICULO TERCERO:</w:t>
      </w:r>
      <w:r w:rsidRPr="00D47B4F">
        <w:rPr>
          <w:rFonts w:cs="Arial"/>
          <w:sz w:val="22"/>
          <w:szCs w:val="22"/>
        </w:rPr>
        <w:t xml:space="preserve"> </w:t>
      </w:r>
      <w:r w:rsidRPr="00D47B4F">
        <w:rPr>
          <w:rFonts w:cs="Arial"/>
          <w:b/>
          <w:bCs/>
          <w:sz w:val="22"/>
          <w:szCs w:val="22"/>
        </w:rPr>
        <w:t>NOTIFICADA</w:t>
      </w:r>
      <w:r w:rsidRPr="00D47B4F">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rsidR="000B1B77" w:rsidRPr="00D47B4F" w:rsidRDefault="000B1B77" w:rsidP="000B1B77">
      <w:pPr>
        <w:jc w:val="both"/>
        <w:rPr>
          <w:rFonts w:cs="Arial"/>
          <w:b/>
          <w:bCs/>
          <w:sz w:val="22"/>
          <w:szCs w:val="22"/>
          <w:lang w:val="es-MX"/>
        </w:rPr>
      </w:pPr>
    </w:p>
    <w:p w:rsidR="000B1B77" w:rsidRPr="00D47B4F" w:rsidRDefault="000B1B77" w:rsidP="000B1B77">
      <w:pPr>
        <w:jc w:val="both"/>
        <w:rPr>
          <w:rFonts w:cs="Arial"/>
          <w:sz w:val="22"/>
          <w:szCs w:val="22"/>
        </w:rPr>
      </w:pPr>
      <w:r w:rsidRPr="00D47B4F">
        <w:rPr>
          <w:rFonts w:cs="Arial"/>
          <w:b/>
          <w:bCs/>
          <w:sz w:val="22"/>
          <w:szCs w:val="22"/>
          <w:lang w:val="es-MX"/>
        </w:rPr>
        <w:t xml:space="preserve">ARTÍCULO CUARTO: </w:t>
      </w:r>
      <w:r w:rsidRPr="00D47B4F">
        <w:rPr>
          <w:rFonts w:cs="Arial"/>
          <w:sz w:val="22"/>
          <w:szCs w:val="22"/>
        </w:rPr>
        <w:t xml:space="preserve">La presente resolución rige a partir de la fecha de su expedición.                         </w:t>
      </w:r>
    </w:p>
    <w:p w:rsidR="000B1B77" w:rsidRPr="00D47B4F" w:rsidRDefault="000B1B77" w:rsidP="000B1B77">
      <w:pPr>
        <w:jc w:val="center"/>
        <w:rPr>
          <w:rFonts w:cs="Arial"/>
          <w:sz w:val="22"/>
          <w:szCs w:val="22"/>
        </w:rPr>
      </w:pPr>
    </w:p>
    <w:p w:rsidR="000B1B77" w:rsidRPr="00D47B4F" w:rsidRDefault="000B1B77" w:rsidP="000B1B77">
      <w:pPr>
        <w:jc w:val="center"/>
        <w:rPr>
          <w:rFonts w:cs="Arial"/>
          <w:b/>
          <w:bCs/>
          <w:sz w:val="22"/>
          <w:szCs w:val="22"/>
        </w:rPr>
      </w:pPr>
      <w:r w:rsidRPr="00D47B4F">
        <w:rPr>
          <w:rFonts w:cs="Arial"/>
          <w:b/>
          <w:bCs/>
          <w:sz w:val="22"/>
          <w:szCs w:val="22"/>
        </w:rPr>
        <w:t>NOTIFÍQUESE Y CÚMPLASE.</w:t>
      </w:r>
    </w:p>
    <w:p w:rsidR="000B1B77" w:rsidRPr="00D47B4F" w:rsidRDefault="000B1B77" w:rsidP="000B1B77">
      <w:pPr>
        <w:keepNext/>
        <w:outlineLvl w:val="1"/>
        <w:rPr>
          <w:rFonts w:cs="Arial"/>
          <w:noProof/>
          <w:sz w:val="22"/>
          <w:szCs w:val="22"/>
          <w:lang w:val="x-none" w:eastAsia="x-none"/>
        </w:rPr>
      </w:pPr>
    </w:p>
    <w:p w:rsidR="000B1B77" w:rsidRPr="00D47B4F" w:rsidRDefault="000B1B77" w:rsidP="000B1B77">
      <w:pPr>
        <w:keepNext/>
        <w:outlineLvl w:val="1"/>
        <w:rPr>
          <w:rFonts w:cs="Arial"/>
          <w:noProof/>
          <w:sz w:val="22"/>
          <w:szCs w:val="22"/>
          <w:lang w:val="es-ES" w:eastAsia="x-none"/>
        </w:rPr>
      </w:pPr>
      <w:r w:rsidRPr="00D47B4F">
        <w:rPr>
          <w:rFonts w:cs="Arial"/>
          <w:noProof/>
          <w:sz w:val="22"/>
          <w:szCs w:val="22"/>
          <w:lang w:val="x-none" w:eastAsia="x-none"/>
        </w:rPr>
        <w:t>Dada en Bogotá D.C., a los</w:t>
      </w:r>
      <w:r w:rsidRPr="00D47B4F">
        <w:rPr>
          <w:rFonts w:cs="Arial"/>
          <w:noProof/>
          <w:sz w:val="22"/>
          <w:szCs w:val="22"/>
          <w:lang w:val="es-ES" w:eastAsia="x-none"/>
        </w:rPr>
        <w:t>:______________</w:t>
      </w:r>
    </w:p>
    <w:p w:rsidR="000B1B77" w:rsidRPr="00D47B4F" w:rsidRDefault="000B1B77" w:rsidP="000B1B77">
      <w:pPr>
        <w:rPr>
          <w:rFonts w:cs="Arial"/>
          <w:sz w:val="22"/>
          <w:szCs w:val="22"/>
        </w:rPr>
      </w:pPr>
    </w:p>
    <w:p w:rsidR="000B1B77" w:rsidRPr="00D47B4F" w:rsidRDefault="000B1B77" w:rsidP="000B1B77">
      <w:pPr>
        <w:rPr>
          <w:rFonts w:cs="Arial"/>
          <w:sz w:val="22"/>
          <w:szCs w:val="22"/>
        </w:rPr>
      </w:pPr>
    </w:p>
    <w:p w:rsidR="000B1B77" w:rsidRPr="00D47B4F" w:rsidRDefault="000B1B77" w:rsidP="000B1B77">
      <w:pPr>
        <w:rPr>
          <w:rFonts w:cs="Arial"/>
          <w:sz w:val="22"/>
          <w:szCs w:val="22"/>
        </w:rPr>
      </w:pPr>
    </w:p>
    <w:p w:rsidR="000B1B77" w:rsidRPr="00D47B4F" w:rsidRDefault="000B1B77" w:rsidP="000B1B77">
      <w:pPr>
        <w:rPr>
          <w:rFonts w:cs="Arial"/>
          <w:sz w:val="22"/>
          <w:szCs w:val="22"/>
        </w:rPr>
      </w:pPr>
    </w:p>
    <w:p w:rsidR="000B1B77" w:rsidRPr="00D47B4F" w:rsidRDefault="000B1B77" w:rsidP="000B1B77">
      <w:pPr>
        <w:rPr>
          <w:rFonts w:cs="Arial"/>
          <w:sz w:val="22"/>
          <w:szCs w:val="22"/>
        </w:rPr>
      </w:pPr>
    </w:p>
    <w:p w:rsidR="000B1B77" w:rsidRPr="00D47B4F" w:rsidRDefault="000B1B77" w:rsidP="000B1B77">
      <w:pPr>
        <w:jc w:val="center"/>
        <w:rPr>
          <w:rFonts w:cs="Arial"/>
          <w:b/>
          <w:bCs/>
          <w:sz w:val="22"/>
          <w:szCs w:val="22"/>
        </w:rPr>
      </w:pPr>
      <w:r w:rsidRPr="00D47B4F">
        <w:rPr>
          <w:rFonts w:cs="Arial"/>
          <w:b/>
          <w:bCs/>
          <w:sz w:val="22"/>
          <w:szCs w:val="22"/>
        </w:rPr>
        <w:t>GERSON ORLANDO BERMONT GALAVIS</w:t>
      </w:r>
    </w:p>
    <w:p w:rsidR="000B1B77" w:rsidRPr="00D47B4F" w:rsidRDefault="000B1B77" w:rsidP="000B1B77">
      <w:pPr>
        <w:jc w:val="center"/>
        <w:rPr>
          <w:rFonts w:cs="Arial"/>
          <w:b/>
          <w:bCs/>
          <w:sz w:val="22"/>
          <w:szCs w:val="22"/>
        </w:rPr>
      </w:pPr>
      <w:r w:rsidRPr="00D47B4F">
        <w:rPr>
          <w:rFonts w:cs="Arial"/>
          <w:b/>
          <w:bCs/>
          <w:sz w:val="22"/>
          <w:szCs w:val="22"/>
        </w:rPr>
        <w:t>Secretario Distrital de Salud</w:t>
      </w:r>
    </w:p>
    <w:p w:rsidR="000B1B77" w:rsidRPr="00D47B4F" w:rsidRDefault="000B1B77" w:rsidP="000B1B77">
      <w:pPr>
        <w:rPr>
          <w:rFonts w:cs="Arial"/>
          <w:iCs/>
          <w:sz w:val="14"/>
          <w:szCs w:val="14"/>
        </w:rPr>
      </w:pPr>
    </w:p>
    <w:p w:rsidR="000B1B77" w:rsidRPr="00D47B4F" w:rsidRDefault="000B1B77" w:rsidP="000B1B77">
      <w:pPr>
        <w:rPr>
          <w:rFonts w:cs="Arial"/>
          <w:iCs/>
          <w:sz w:val="14"/>
          <w:szCs w:val="14"/>
        </w:rPr>
      </w:pPr>
    </w:p>
    <w:p w:rsidR="000B1B77" w:rsidRPr="00D47B4F" w:rsidRDefault="000B1B77" w:rsidP="000B1B77">
      <w:pPr>
        <w:rPr>
          <w:rFonts w:cs="Arial"/>
          <w:sz w:val="14"/>
          <w:szCs w:val="14"/>
        </w:rPr>
      </w:pPr>
      <w:r w:rsidRPr="00D47B4F">
        <w:rPr>
          <w:rFonts w:cs="Arial"/>
          <w:iCs/>
          <w:sz w:val="14"/>
          <w:szCs w:val="14"/>
        </w:rPr>
        <w:t xml:space="preserve">Elaboró: Giovanny Fajardo Jiménez. </w:t>
      </w:r>
    </w:p>
    <w:p w:rsidR="000B1B77" w:rsidRPr="00D47B4F" w:rsidRDefault="000B1B77" w:rsidP="000B1B77">
      <w:pPr>
        <w:rPr>
          <w:rFonts w:cs="Arial"/>
          <w:iCs/>
          <w:sz w:val="14"/>
          <w:szCs w:val="14"/>
        </w:rPr>
      </w:pPr>
      <w:r w:rsidRPr="00D47B4F">
        <w:rPr>
          <w:rFonts w:cs="Arial"/>
          <w:iCs/>
          <w:sz w:val="14"/>
          <w:szCs w:val="14"/>
        </w:rPr>
        <w:t xml:space="preserve">Reviso: Julio Cesar Lozano Mier. </w:t>
      </w:r>
    </w:p>
    <w:p w:rsidR="000B1B77" w:rsidRPr="00D47B4F" w:rsidRDefault="000B1B77" w:rsidP="000B1B77">
      <w:pPr>
        <w:rPr>
          <w:rFonts w:cs="Arial"/>
          <w:sz w:val="14"/>
          <w:szCs w:val="14"/>
        </w:rPr>
      </w:pPr>
      <w:r w:rsidRPr="00D47B4F">
        <w:rPr>
          <w:rFonts w:cs="Arial"/>
          <w:iCs/>
          <w:sz w:val="14"/>
          <w:szCs w:val="14"/>
        </w:rPr>
        <w:t xml:space="preserve">Aprobó: Melissa Triana Luna.   </w:t>
      </w:r>
    </w:p>
    <w:p w:rsidR="000B1B77" w:rsidRPr="00D47B4F" w:rsidRDefault="000B1B77" w:rsidP="000B1B77">
      <w:pPr>
        <w:rPr>
          <w:rFonts w:cs="Arial"/>
        </w:rPr>
      </w:pPr>
      <w:r w:rsidRPr="00D47B4F">
        <w:rPr>
          <w:rFonts w:cs="Arial"/>
        </w:rPr>
        <w:t xml:space="preserve"> </w:t>
      </w:r>
      <w:r>
        <w:rPr>
          <w:rFonts w:cs="Arial"/>
        </w:rPr>
        <w:t xml:space="preserve"> </w:t>
      </w:r>
    </w:p>
    <w:p w:rsidR="000B1B77" w:rsidRDefault="000B1B77" w:rsidP="000B1B77"/>
    <w:p w:rsidR="00C54FE8" w:rsidRDefault="00C54FE8"/>
    <w:sectPr w:rsidR="00C54FE8" w:rsidSect="009B4D81">
      <w:headerReference w:type="default" r:id="rId6"/>
      <w:footerReference w:type="even" r:id="rId7"/>
      <w:footerReference w:type="default" r:id="rId8"/>
      <w:headerReference w:type="first" r:id="rId9"/>
      <w:footerReference w:type="first" r:id="rId10"/>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D415B">
      <w:r>
        <w:separator/>
      </w:r>
    </w:p>
  </w:endnote>
  <w:endnote w:type="continuationSeparator" w:id="0">
    <w:p w:rsidR="00000000" w:rsidRDefault="006D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0B1B7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2CE9" w:rsidRDefault="006D415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rsidR="006A2CE9" w:rsidRDefault="000B1B77" w:rsidP="00053D59">
            <w:pPr>
              <w:pStyle w:val="Piedepgina"/>
              <w:tabs>
                <w:tab w:val="left" w:pos="3115"/>
                <w:tab w:val="right" w:pos="9972"/>
              </w:tabs>
            </w:pPr>
            <w:r>
              <w:rPr>
                <w:noProof/>
                <w:lang w:eastAsia="es-CO" w:bidi="ar-SA"/>
              </w:rPr>
              <w:drawing>
                <wp:anchor distT="0" distB="0" distL="114300" distR="114300" simplePos="0" relativeHeight="251661312" behindDoc="1" locked="0" layoutInCell="1" allowOverlap="1" wp14:anchorId="18425953" wp14:editId="44697781">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0288" behindDoc="1" locked="0" layoutInCell="1" allowOverlap="1" wp14:anchorId="1D1A6C1A" wp14:editId="19B1EBED">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9264" behindDoc="1" locked="0" layoutInCell="1" allowOverlap="1" wp14:anchorId="59B4ABB4" wp14:editId="032BF29C">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6D415B">
              <w:rPr>
                <w:b/>
                <w:noProof/>
                <w:sz w:val="20"/>
                <w:szCs w:val="20"/>
              </w:rPr>
              <w:t>8</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6D415B">
              <w:rPr>
                <w:b/>
                <w:noProof/>
                <w:sz w:val="20"/>
                <w:szCs w:val="20"/>
              </w:rPr>
              <w:t>8</w:t>
            </w:r>
            <w:r w:rsidRPr="00D47B4F">
              <w:rPr>
                <w:b/>
                <w:sz w:val="20"/>
                <w:szCs w:val="20"/>
              </w:rPr>
              <w:fldChar w:fldCharType="end"/>
            </w:r>
          </w:p>
        </w:sdtContent>
      </w:sdt>
    </w:sdtContent>
  </w:sdt>
  <w:p w:rsidR="006A2CE9" w:rsidRDefault="000B1B77" w:rsidP="00A50908">
    <w:pPr>
      <w:pStyle w:val="Piedepgina"/>
      <w:ind w:right="360"/>
    </w:pPr>
    <w:r>
      <w:rPr>
        <w:noProof/>
        <w:lang w:eastAsia="es-CO" w:bidi="ar-SA"/>
      </w:rPr>
      <w:drawing>
        <wp:anchor distT="0" distB="0" distL="114300" distR="114300" simplePos="0" relativeHeight="251664384" behindDoc="1" locked="0" layoutInCell="1" allowOverlap="1" wp14:anchorId="4806F275" wp14:editId="4D905DA7">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3360" behindDoc="1" locked="0" layoutInCell="1" allowOverlap="1" wp14:anchorId="3665B6C5" wp14:editId="77217B01">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A50908">
      <w:rPr>
        <w:noProof/>
        <w:lang w:eastAsia="es-CO" w:bidi="ar-SA"/>
      </w:rPr>
      <w:drawing>
        <wp:inline distT="0" distB="0" distL="0" distR="0" wp14:anchorId="5A78D497" wp14:editId="68808F2D">
          <wp:extent cx="6229350" cy="668835"/>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56089" cy="69318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6D415B" w:rsidP="00A50908">
    <w:pPr>
      <w:pStyle w:val="Piedepgina"/>
    </w:pPr>
  </w:p>
  <w:p w:rsidR="00CF3006" w:rsidRDefault="006D415B" w:rsidP="00A50908">
    <w:pPr>
      <w:pStyle w:val="Piedepgina"/>
      <w:rPr>
        <w:noProof/>
        <w:lang w:eastAsia="es-CO" w:bidi="ar-SA"/>
      </w:rPr>
    </w:pPr>
  </w:p>
  <w:p w:rsidR="006A2CE9" w:rsidRDefault="000B1B77" w:rsidP="00A50908">
    <w:pPr>
      <w:pStyle w:val="Piedepgina"/>
    </w:pPr>
    <w:r w:rsidRPr="00A50908">
      <w:rPr>
        <w:noProof/>
        <w:lang w:eastAsia="es-CO" w:bidi="ar-SA"/>
      </w:rPr>
      <w:drawing>
        <wp:inline distT="0" distB="0" distL="0" distR="0" wp14:anchorId="5DF5B1AF" wp14:editId="35AE7133">
          <wp:extent cx="6048375" cy="680533"/>
          <wp:effectExtent l="0" t="0" r="0" b="5715"/>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9333" cy="684016"/>
                  </a:xfrm>
                  <a:prstGeom prst="rect">
                    <a:avLst/>
                  </a:prstGeom>
                  <a:noFill/>
                </pic:spPr>
              </pic:pic>
            </a:graphicData>
          </a:graphic>
        </wp:inline>
      </w:drawing>
    </w:r>
    <w:r>
      <w:rPr>
        <w:noProof/>
        <w:lang w:eastAsia="es-CO" w:bidi="ar-SA"/>
      </w:rPr>
      <w:drawing>
        <wp:anchor distT="0" distB="0" distL="114300" distR="114300" simplePos="0" relativeHeight="251662336" behindDoc="1" locked="0" layoutInCell="1" allowOverlap="1" wp14:anchorId="00397737" wp14:editId="379F299C">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D415B">
      <w:r>
        <w:separator/>
      </w:r>
    </w:p>
  </w:footnote>
  <w:footnote w:type="continuationSeparator" w:id="0">
    <w:p w:rsidR="00000000" w:rsidRDefault="006D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6D415B">
    <w:bookmarkStart w:id="6" w:name="_Hlk30415542"/>
  </w:p>
  <w:p w:rsidR="006A2CE9" w:rsidRDefault="000B1B77">
    <w:r w:rsidRPr="000F5B56">
      <w:rPr>
        <w:noProof/>
        <w:lang w:eastAsia="es-CO" w:bidi="ar-SA"/>
      </w:rPr>
      <w:drawing>
        <wp:inline distT="0" distB="0" distL="0" distR="0" wp14:anchorId="5664168B" wp14:editId="58C1A777">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6"/>
  </w:p>
  <w:p w:rsidR="00C4105C" w:rsidRDefault="000B1B77"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Pr>
        <w:rFonts w:ascii="Times New Roman" w:hAnsi="Times New Roman"/>
        <w:i/>
        <w:sz w:val="20"/>
        <w:szCs w:val="20"/>
      </w:rPr>
      <w:t>“</w:t>
    </w:r>
    <w:r w:rsidRPr="00BB0639">
      <w:rPr>
        <w:rFonts w:ascii="Times New Roman" w:hAnsi="Times New Roman"/>
        <w:i/>
        <w:sz w:val="20"/>
        <w:szCs w:val="20"/>
      </w:rPr>
      <w:t>Por la cual se Revoca la Resolución No. 10709 del 22 de agosto de 2022 proferida por la Subdirección de Vigilancia en Salud Pública, dentro de la Investigación Administrativa No. 2489-2019</w:t>
    </w:r>
    <w:r>
      <w:rPr>
        <w:rFonts w:ascii="Times New Roman" w:hAnsi="Times New Roman"/>
        <w:i/>
        <w:sz w:val="20"/>
        <w:szCs w:val="20"/>
      </w:rPr>
      <w:t>”</w:t>
    </w:r>
    <w:r>
      <w:rPr>
        <w:rFonts w:cs="Arial"/>
        <w:sz w:val="22"/>
        <w:szCs w:val="22"/>
      </w:rPr>
      <w:t>.</w:t>
    </w:r>
    <w:r w:rsidRPr="000258C5">
      <w:rPr>
        <w:rFonts w:cs="Arial"/>
        <w:sz w:val="22"/>
        <w:szCs w:val="22"/>
      </w:rPr>
      <w:t xml:space="preserve"> </w:t>
    </w:r>
    <w:r>
      <w:rPr>
        <w:rFonts w:cs="Arial"/>
        <w:sz w:val="22"/>
        <w:szCs w:val="22"/>
      </w:rPr>
      <w:t xml:space="preserve">      </w:t>
    </w:r>
  </w:p>
  <w:p w:rsidR="0086361D" w:rsidRPr="002B11F0" w:rsidRDefault="006D415B"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0B1B77">
    <w:pPr>
      <w:pStyle w:val="Encabezado"/>
    </w:pPr>
    <w:r w:rsidRPr="000F5B56">
      <w:rPr>
        <w:noProof/>
        <w:lang w:eastAsia="es-CO" w:bidi="ar-SA"/>
      </w:rPr>
      <w:drawing>
        <wp:anchor distT="0" distB="0" distL="114300" distR="114300" simplePos="0" relativeHeight="251665408" behindDoc="0" locked="0" layoutInCell="1" allowOverlap="1" wp14:anchorId="2701A7E3" wp14:editId="05927095">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B77"/>
    <w:rsid w:val="000B1B77"/>
    <w:rsid w:val="006D415B"/>
    <w:rsid w:val="00AB5467"/>
    <w:rsid w:val="00C54F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4CE07"/>
  <w15:chartTrackingRefBased/>
  <w15:docId w15:val="{CBCACAC4-88F7-41BE-85AC-988C2BA2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B77"/>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0B1B77"/>
    <w:pPr>
      <w:tabs>
        <w:tab w:val="center" w:pos="4252"/>
        <w:tab w:val="right" w:pos="8504"/>
      </w:tabs>
    </w:pPr>
  </w:style>
  <w:style w:type="character" w:customStyle="1" w:styleId="PiedepginaCar">
    <w:name w:val="Pie de página Car"/>
    <w:basedOn w:val="Fuentedeprrafopredeter"/>
    <w:link w:val="Piedepgina"/>
    <w:uiPriority w:val="99"/>
    <w:rsid w:val="000B1B77"/>
    <w:rPr>
      <w:rFonts w:ascii="Arial" w:eastAsia="Times New Roman" w:hAnsi="Arial" w:cs="Times New Roman"/>
      <w:sz w:val="24"/>
      <w:szCs w:val="24"/>
      <w:lang w:bidi="he-IL"/>
    </w:rPr>
  </w:style>
  <w:style w:type="character" w:styleId="Nmerodepgina">
    <w:name w:val="page number"/>
    <w:uiPriority w:val="99"/>
    <w:rsid w:val="000B1B77"/>
    <w:rPr>
      <w:rFonts w:cs="Times New Roman"/>
    </w:rPr>
  </w:style>
  <w:style w:type="paragraph" w:styleId="Encabezado">
    <w:name w:val="header"/>
    <w:basedOn w:val="Normal"/>
    <w:link w:val="EncabezadoCar"/>
    <w:uiPriority w:val="99"/>
    <w:rsid w:val="000B1B77"/>
    <w:pPr>
      <w:tabs>
        <w:tab w:val="center" w:pos="4252"/>
        <w:tab w:val="right" w:pos="8504"/>
      </w:tabs>
    </w:pPr>
  </w:style>
  <w:style w:type="character" w:customStyle="1" w:styleId="EncabezadoCar">
    <w:name w:val="Encabezado Car"/>
    <w:basedOn w:val="Fuentedeprrafopredeter"/>
    <w:link w:val="Encabezado"/>
    <w:uiPriority w:val="99"/>
    <w:rsid w:val="000B1B77"/>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6D41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D415B"/>
    <w:rPr>
      <w:rFonts w:ascii="Segoe UI" w:eastAsia="Times New Roman" w:hAnsi="Segoe UI" w:cs="Segoe UI"/>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3759</Words>
  <Characters>20679</Characters>
  <Application>Microsoft Office Word</Application>
  <DocSecurity>0</DocSecurity>
  <Lines>172</Lines>
  <Paragraphs>48</Paragraphs>
  <ScaleCrop>false</ScaleCrop>
  <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3</cp:revision>
  <cp:lastPrinted>2025-11-07T17:04:00Z</cp:lastPrinted>
  <dcterms:created xsi:type="dcterms:W3CDTF">2025-11-07T17:01:00Z</dcterms:created>
  <dcterms:modified xsi:type="dcterms:W3CDTF">2025-11-07T17:05:00Z</dcterms:modified>
</cp:coreProperties>
</file>